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45" w:rsidRDefault="00F41E45" w:rsidP="00F41E45">
      <w:pPr>
        <w:rPr>
          <w:rFonts w:ascii="Arial" w:hAnsi="Arial" w:cs="Arial"/>
          <w:b/>
          <w:sz w:val="24"/>
          <w:szCs w:val="24"/>
        </w:rPr>
      </w:pPr>
      <w:r>
        <w:rPr>
          <w:rFonts w:ascii="Arial" w:hAnsi="Arial" w:cs="Arial"/>
          <w:b/>
          <w:sz w:val="24"/>
          <w:szCs w:val="24"/>
        </w:rPr>
        <w:t>Eq</w:t>
      </w:r>
      <w:r w:rsidR="00BD4E90">
        <w:rPr>
          <w:rFonts w:ascii="Arial" w:hAnsi="Arial" w:cs="Arial"/>
          <w:b/>
          <w:sz w:val="24"/>
          <w:szCs w:val="24"/>
        </w:rPr>
        <w:t>uality Impact Assessment (</w:t>
      </w:r>
      <w:proofErr w:type="spellStart"/>
      <w:r w:rsidR="00BD4E90">
        <w:rPr>
          <w:rFonts w:ascii="Arial" w:hAnsi="Arial" w:cs="Arial"/>
          <w:b/>
          <w:sz w:val="24"/>
          <w:szCs w:val="24"/>
        </w:rPr>
        <w:t>EqIA</w:t>
      </w:r>
      <w:proofErr w:type="spellEnd"/>
      <w:r w:rsidR="00BD4E90">
        <w:rPr>
          <w:rFonts w:ascii="Arial" w:hAnsi="Arial" w:cs="Arial"/>
          <w:b/>
          <w:sz w:val="24"/>
          <w:szCs w:val="24"/>
        </w:rPr>
        <w:t>)</w:t>
      </w:r>
      <w:r>
        <w:rPr>
          <w:rFonts w:ascii="Arial" w:hAnsi="Arial" w:cs="Arial"/>
          <w:b/>
          <w:sz w:val="24"/>
          <w:szCs w:val="24"/>
        </w:rPr>
        <w:t xml:space="preserve"> </w:t>
      </w:r>
      <w:r w:rsidR="00533009">
        <w:rPr>
          <w:rFonts w:ascii="Arial" w:hAnsi="Arial" w:cs="Arial"/>
          <w:b/>
          <w:sz w:val="24"/>
          <w:szCs w:val="24"/>
        </w:rPr>
        <w:tab/>
      </w:r>
      <w:r w:rsidR="00533009">
        <w:rPr>
          <w:rFonts w:ascii="Arial" w:hAnsi="Arial" w:cs="Arial"/>
          <w:b/>
          <w:sz w:val="24"/>
          <w:szCs w:val="24"/>
        </w:rPr>
        <w:tab/>
      </w:r>
      <w:r w:rsidR="00533009">
        <w:rPr>
          <w:rFonts w:ascii="Arial" w:hAnsi="Arial" w:cs="Arial"/>
          <w:b/>
          <w:sz w:val="24"/>
          <w:szCs w:val="24"/>
        </w:rPr>
        <w:tab/>
      </w:r>
      <w:r w:rsidR="00533009">
        <w:rPr>
          <w:rFonts w:ascii="Arial" w:hAnsi="Arial" w:cs="Arial"/>
          <w:b/>
          <w:sz w:val="24"/>
          <w:szCs w:val="24"/>
        </w:rPr>
        <w:tab/>
      </w:r>
      <w:r w:rsidR="00533009">
        <w:rPr>
          <w:rFonts w:ascii="Arial" w:hAnsi="Arial" w:cs="Arial"/>
          <w:b/>
          <w:sz w:val="24"/>
          <w:szCs w:val="24"/>
        </w:rPr>
        <w:tab/>
      </w:r>
      <w:r w:rsidR="00533009">
        <w:rPr>
          <w:rFonts w:ascii="Arial" w:hAnsi="Arial" w:cs="Arial"/>
          <w:b/>
          <w:sz w:val="24"/>
          <w:szCs w:val="24"/>
        </w:rPr>
        <w:tab/>
      </w:r>
      <w:r w:rsidR="00533009">
        <w:rPr>
          <w:rFonts w:ascii="Arial" w:hAnsi="Arial" w:cs="Arial"/>
          <w:b/>
          <w:sz w:val="24"/>
          <w:szCs w:val="24"/>
        </w:rPr>
        <w:tab/>
      </w:r>
      <w:r w:rsidR="00533009">
        <w:rPr>
          <w:rFonts w:ascii="Arial" w:hAnsi="Arial" w:cs="Arial"/>
          <w:b/>
          <w:sz w:val="24"/>
          <w:szCs w:val="24"/>
        </w:rPr>
        <w:tab/>
      </w:r>
      <w:r w:rsidR="00533009">
        <w:rPr>
          <w:rFonts w:ascii="Arial" w:hAnsi="Arial" w:cs="Arial"/>
          <w:b/>
          <w:sz w:val="24"/>
          <w:szCs w:val="24"/>
        </w:rPr>
        <w:tab/>
      </w:r>
      <w:r w:rsidR="00533009">
        <w:rPr>
          <w:rFonts w:ascii="Arial" w:hAnsi="Arial" w:cs="Arial"/>
          <w:b/>
          <w:sz w:val="24"/>
          <w:szCs w:val="24"/>
        </w:rPr>
        <w:tab/>
      </w:r>
      <w:r w:rsidR="00533009">
        <w:rPr>
          <w:rFonts w:ascii="Arial" w:hAnsi="Arial" w:cs="Arial"/>
          <w:b/>
          <w:sz w:val="24"/>
          <w:szCs w:val="24"/>
        </w:rPr>
        <w:tab/>
      </w:r>
      <w:r w:rsidR="00533009">
        <w:rPr>
          <w:rFonts w:ascii="Arial" w:hAnsi="Arial" w:cs="Arial"/>
          <w:b/>
          <w:sz w:val="24"/>
          <w:szCs w:val="24"/>
        </w:rPr>
        <w:tab/>
        <w:t>APPENDIX 8</w:t>
      </w:r>
      <w:bookmarkStart w:id="0" w:name="_GoBack"/>
      <w:bookmarkEnd w:id="0"/>
    </w:p>
    <w:p w:rsidR="006C677D" w:rsidRPr="0090668B" w:rsidRDefault="006C677D" w:rsidP="006C677D">
      <w:pPr>
        <w:spacing w:after="0" w:line="240" w:lineRule="auto"/>
        <w:rPr>
          <w:rFonts w:ascii="Arial" w:eastAsia="Times New Roman" w:hAnsi="Arial" w:cs="Arial"/>
          <w:b/>
          <w:sz w:val="36"/>
          <w:szCs w:val="36"/>
          <w:lang w:eastAsia="en-GB"/>
        </w:rPr>
      </w:pPr>
      <w:r w:rsidRPr="0090668B">
        <w:rPr>
          <w:rFonts w:ascii="Times New Roman" w:eastAsia="Times New Roman" w:hAnsi="Times New Roman"/>
          <w:noProof/>
          <w:sz w:val="20"/>
          <w:szCs w:val="20"/>
          <w:lang w:eastAsia="en-GB"/>
        </w:rPr>
        <w:drawing>
          <wp:inline distT="0" distB="0" distL="0" distR="0" wp14:anchorId="3E864476" wp14:editId="3E864477">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rsidR="00D00D00" w:rsidRDefault="00D00D00" w:rsidP="00D00D00">
      <w:pPr>
        <w:spacing w:after="0" w:line="240" w:lineRule="auto"/>
        <w:rPr>
          <w:rFonts w:ascii="Arial" w:eastAsia="Times New Roman" w:hAnsi="Arial" w:cs="Arial"/>
          <w:sz w:val="24"/>
          <w:szCs w:val="24"/>
          <w:lang w:eastAsia="en-GB"/>
        </w:rPr>
      </w:pPr>
    </w:p>
    <w:p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rsidR="006C677D" w:rsidRPr="0090668B" w:rsidRDefault="006C677D" w:rsidP="006C677D">
      <w:pPr>
        <w:spacing w:after="0" w:line="240" w:lineRule="auto"/>
        <w:rPr>
          <w:rFonts w:ascii="Arial" w:eastAsia="Times New Roman" w:hAnsi="Arial" w:cs="Arial"/>
          <w:sz w:val="24"/>
          <w:szCs w:val="24"/>
          <w:lang w:eastAsia="en-GB"/>
        </w:rPr>
      </w:pPr>
    </w:p>
    <w:p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w:t>
      </w:r>
      <w:proofErr w:type="gramStart"/>
      <w:r w:rsidRPr="0090668B">
        <w:rPr>
          <w:rFonts w:ascii="Arial" w:eastAsia="Times New Roman" w:hAnsi="Arial" w:cs="Arial"/>
          <w:sz w:val="24"/>
          <w:szCs w:val="24"/>
          <w:lang w:eastAsia="en-GB"/>
        </w:rPr>
        <w:t xml:space="preserve">the </w:t>
      </w:r>
      <w:hyperlink r:id="rId14"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w:t>
      </w:r>
      <w:proofErr w:type="gramEnd"/>
      <w:r w:rsidRPr="0090668B">
        <w:rPr>
          <w:rFonts w:ascii="Arial" w:eastAsia="Times New Roman" w:hAnsi="Arial" w:cs="Arial"/>
          <w:sz w:val="24"/>
          <w:szCs w:val="24"/>
          <w:lang w:eastAsia="en-GB"/>
        </w:rPr>
        <w:t xml:space="preserve">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5"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rsidR="006C677D" w:rsidRDefault="006C677D" w:rsidP="006C677D">
      <w:pPr>
        <w:spacing w:after="0" w:line="240" w:lineRule="auto"/>
        <w:rPr>
          <w:rFonts w:ascii="Arial" w:eastAsia="Times New Roman" w:hAnsi="Arial" w:cs="Arial"/>
          <w:color w:val="1F497D"/>
          <w:sz w:val="24"/>
          <w:szCs w:val="24"/>
          <w:lang w:eastAsia="en-GB"/>
        </w:rPr>
      </w:pPr>
    </w:p>
    <w:p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6"/>
          <w:footerReference w:type="default" r:id="rId17"/>
          <w:pgSz w:w="16840" w:h="11907" w:orient="landscape" w:code="9"/>
          <w:pgMar w:top="568" w:right="1440" w:bottom="1134" w:left="1440" w:header="720" w:footer="720" w:gutter="0"/>
          <w:pgNumType w:start="0"/>
          <w:cols w:space="720"/>
          <w:noEndnote/>
          <w:titlePg/>
        </w:sectPr>
      </w:pPr>
    </w:p>
    <w:tbl>
      <w:tblPr>
        <w:tblW w:w="496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36"/>
        <w:gridCol w:w="4836"/>
      </w:tblGrid>
      <w:tr w:rsidR="006C677D" w:rsidRPr="0090668B" w:rsidTr="003F6D6A">
        <w:trPr>
          <w:trHeight w:val="240"/>
          <w:jc w:val="center"/>
        </w:trPr>
        <w:tc>
          <w:tcPr>
            <w:tcW w:w="5000" w:type="pct"/>
            <w:gridSpan w:val="3"/>
            <w:shd w:val="clear" w:color="auto" w:fill="7030A0"/>
            <w:vAlign w:val="center"/>
          </w:tcPr>
          <w:p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rsidR="006C677D" w:rsidRPr="0090668B" w:rsidRDefault="006C677D" w:rsidP="001B4788">
            <w:pPr>
              <w:spacing w:after="0" w:line="240" w:lineRule="auto"/>
              <w:rPr>
                <w:rFonts w:ascii="Times New Roman" w:eastAsia="Times New Roman" w:hAnsi="Times New Roman"/>
                <w:sz w:val="20"/>
                <w:szCs w:val="20"/>
                <w:lang w:eastAsia="en-GB"/>
              </w:rPr>
            </w:pPr>
          </w:p>
        </w:tc>
      </w:tr>
      <w:tr w:rsidR="00C45D88" w:rsidRPr="0090668B" w:rsidTr="00C45D88">
        <w:trPr>
          <w:trHeight w:val="240"/>
          <w:jc w:val="center"/>
        </w:trPr>
        <w:tc>
          <w:tcPr>
            <w:tcW w:w="1562" w:type="pct"/>
            <w:shd w:val="clear" w:color="auto" w:fill="auto"/>
            <w:vAlign w:val="center"/>
          </w:tcPr>
          <w:p w:rsidR="00C45D88" w:rsidRPr="0090668B" w:rsidRDefault="00C45D88"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Pr>
                <w:rFonts w:ascii="Arial" w:eastAsia="Times New Roman" w:hAnsi="Arial" w:cs="Arial"/>
                <w:b/>
                <w:lang w:eastAsia="en-GB"/>
              </w:rPr>
              <w:t>Type of decision</w:t>
            </w:r>
          </w:p>
        </w:tc>
        <w:tc>
          <w:tcPr>
            <w:tcW w:w="3438" w:type="pct"/>
            <w:gridSpan w:val="2"/>
            <w:shd w:val="clear" w:color="auto" w:fill="auto"/>
            <w:vAlign w:val="center"/>
          </w:tcPr>
          <w:p w:rsidR="00C45D88" w:rsidRPr="0090668B" w:rsidRDefault="00C45D88" w:rsidP="00252964">
            <w:pPr>
              <w:spacing w:after="0" w:line="320" w:lineRule="atLeast"/>
              <w:rPr>
                <w:rFonts w:ascii="Arial" w:eastAsia="Times New Roman" w:hAnsi="Arial" w:cs="Arial"/>
                <w:b/>
                <w:lang w:eastAsia="en-GB"/>
              </w:rPr>
            </w:pPr>
            <w:r>
              <w:rPr>
                <w:rFonts w:ascii="Tahoma" w:eastAsia="Times New Roman" w:hAnsi="Tahoma" w:cs="Tahoma"/>
                <w:sz w:val="24"/>
                <w:szCs w:val="20"/>
                <w:lang w:eastAsia="en-GB"/>
              </w:rPr>
              <w:t>Cabinet</w:t>
            </w:r>
          </w:p>
        </w:tc>
      </w:tr>
      <w:tr w:rsidR="00C45D88" w:rsidRPr="0090668B" w:rsidTr="00C45D88">
        <w:trPr>
          <w:trHeight w:val="240"/>
          <w:jc w:val="center"/>
        </w:trPr>
        <w:tc>
          <w:tcPr>
            <w:tcW w:w="1562" w:type="pct"/>
            <w:shd w:val="clear" w:color="auto" w:fill="auto"/>
            <w:vAlign w:val="center"/>
          </w:tcPr>
          <w:p w:rsidR="00C45D88" w:rsidRPr="0090668B" w:rsidRDefault="00C45D88" w:rsidP="00CB317E">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rsidR="00C45D88" w:rsidRPr="0090668B" w:rsidRDefault="00C45D88" w:rsidP="00CB317E">
            <w:pPr>
              <w:spacing w:after="0" w:line="320" w:lineRule="atLeast"/>
              <w:rPr>
                <w:rFonts w:ascii="Tahoma" w:eastAsia="Times New Roman" w:hAnsi="Tahoma" w:cs="Tahoma"/>
                <w:sz w:val="24"/>
                <w:szCs w:val="20"/>
                <w:lang w:eastAsia="en-GB"/>
              </w:rPr>
            </w:pPr>
            <w:r w:rsidRPr="00C45D88">
              <w:rPr>
                <w:rFonts w:ascii="Tahoma" w:eastAsia="Times New Roman" w:hAnsi="Tahoma" w:cs="Tahoma"/>
                <w:sz w:val="24"/>
                <w:szCs w:val="20"/>
                <w:lang w:eastAsia="en-GB"/>
              </w:rPr>
              <w:t>HRA Budget 2019-20 &amp; MTFS 2020-21 to 2021-22</w:t>
            </w:r>
          </w:p>
        </w:tc>
        <w:tc>
          <w:tcPr>
            <w:tcW w:w="1719" w:type="pct"/>
            <w:shd w:val="clear" w:color="auto" w:fill="auto"/>
            <w:vAlign w:val="center"/>
          </w:tcPr>
          <w:p w:rsidR="00C45D88" w:rsidRPr="0090668B" w:rsidRDefault="00C45D88" w:rsidP="00CB317E">
            <w:pPr>
              <w:spacing w:after="0" w:line="320" w:lineRule="atLeast"/>
              <w:rPr>
                <w:rFonts w:ascii="Tahoma" w:eastAsia="Times New Roman" w:hAnsi="Tahoma" w:cs="Tahoma"/>
                <w:sz w:val="24"/>
                <w:szCs w:val="20"/>
                <w:lang w:eastAsia="en-GB"/>
              </w:rPr>
            </w:pPr>
            <w:r>
              <w:rPr>
                <w:rFonts w:ascii="Arial" w:eastAsia="Times New Roman" w:hAnsi="Arial" w:cs="Arial"/>
                <w:b/>
                <w:lang w:eastAsia="en-GB"/>
              </w:rPr>
              <w:t>20/12/2018</w:t>
            </w:r>
          </w:p>
        </w:tc>
      </w:tr>
      <w:tr w:rsidR="006C677D" w:rsidRPr="0090668B" w:rsidTr="003F6D6A">
        <w:trPr>
          <w:trHeight w:val="240"/>
          <w:jc w:val="center"/>
        </w:trPr>
        <w:tc>
          <w:tcPr>
            <w:tcW w:w="1562" w:type="pct"/>
            <w:shd w:val="clear" w:color="auto" w:fill="auto"/>
            <w:vAlign w:val="center"/>
          </w:tcPr>
          <w:p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rsidR="006C677D" w:rsidRPr="0090668B" w:rsidRDefault="00C45D88"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Milan Joshi</w:t>
            </w:r>
          </w:p>
        </w:tc>
      </w:tr>
      <w:tr w:rsidR="006C677D" w:rsidRPr="0090668B" w:rsidTr="003F6D6A">
        <w:trPr>
          <w:trHeight w:val="240"/>
          <w:jc w:val="center"/>
        </w:trPr>
        <w:tc>
          <w:tcPr>
            <w:tcW w:w="1562" w:type="pct"/>
            <w:shd w:val="clear" w:color="auto" w:fill="auto"/>
            <w:vAlign w:val="center"/>
          </w:tcPr>
          <w:p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rsidR="006C677D" w:rsidRPr="0090668B" w:rsidRDefault="002A696C"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Resources and Commercial/Finance</w:t>
            </w:r>
          </w:p>
        </w:tc>
      </w:tr>
      <w:tr w:rsidR="006C677D" w:rsidRPr="0090668B" w:rsidTr="003F6D6A">
        <w:trPr>
          <w:trHeight w:val="240"/>
          <w:jc w:val="center"/>
        </w:trPr>
        <w:tc>
          <w:tcPr>
            <w:tcW w:w="5000" w:type="pct"/>
            <w:gridSpan w:val="3"/>
            <w:shd w:val="clear" w:color="auto" w:fill="7030A0"/>
            <w:vAlign w:val="center"/>
          </w:tcPr>
          <w:p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rsidTr="003F6D6A">
        <w:trPr>
          <w:trHeight w:val="240"/>
          <w:jc w:val="center"/>
        </w:trPr>
        <w:tc>
          <w:tcPr>
            <w:tcW w:w="1562" w:type="pct"/>
            <w:shd w:val="clear" w:color="auto" w:fill="auto"/>
          </w:tcPr>
          <w:p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approved  by  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41A1A">
              <w:rPr>
                <w:rFonts w:ascii="Arial" w:eastAsia="Times New Roman" w:hAnsi="Arial" w:cs="Arial"/>
                <w:b/>
                <w:lang w:eastAsia="en-GB"/>
              </w:rPr>
              <w:t>Lead</w:t>
            </w:r>
          </w:p>
          <w:p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rsidR="006C677D"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p>
          <w:p w:rsidR="00252964" w:rsidRPr="00C45D88" w:rsidRDefault="00252964" w:rsidP="001B4788">
            <w:pPr>
              <w:spacing w:after="0" w:line="240" w:lineRule="auto"/>
              <w:rPr>
                <w:rFonts w:ascii="Arial" w:eastAsia="Times New Roman" w:hAnsi="Arial" w:cs="Arial"/>
                <w:lang w:eastAsia="en-GB"/>
              </w:rPr>
            </w:pPr>
            <w:r w:rsidRPr="00C45D88">
              <w:rPr>
                <w:rFonts w:ascii="Arial" w:eastAsia="Times New Roman" w:hAnsi="Arial" w:cs="Arial"/>
                <w:lang w:eastAsia="en-GB"/>
              </w:rPr>
              <w:t>Alex Dewsnap</w:t>
            </w:r>
          </w:p>
        </w:tc>
        <w:tc>
          <w:tcPr>
            <w:tcW w:w="1719" w:type="pct"/>
            <w:shd w:val="clear" w:color="auto" w:fill="auto"/>
            <w:vAlign w:val="center"/>
          </w:tcPr>
          <w:p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rsidR="006C677D" w:rsidRPr="00C21A65" w:rsidRDefault="00533009"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0F282D">
                  <w:rPr>
                    <w:rFonts w:ascii="MS Gothic" w:eastAsia="MS Gothic" w:hAnsi="MS Gothic" w:cs="Arial" w:hint="eastAsia"/>
                    <w:b/>
                    <w:sz w:val="36"/>
                    <w:szCs w:val="36"/>
                    <w:lang w:eastAsia="en-GB"/>
                  </w:rPr>
                  <w:t>☒</w:t>
                </w:r>
              </w:sdtContent>
            </w:sdt>
          </w:p>
          <w:p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rsidR="006C677D" w:rsidRDefault="006C677D" w:rsidP="001B4788">
            <w:pPr>
              <w:spacing w:after="0" w:line="240" w:lineRule="auto"/>
              <w:rPr>
                <w:rFonts w:ascii="Arial" w:eastAsia="Times New Roman" w:hAnsi="Arial" w:cs="Arial"/>
                <w:b/>
                <w:lang w:eastAsia="en-GB"/>
              </w:rPr>
            </w:pPr>
          </w:p>
          <w:p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06761E">
              <w:rPr>
                <w:rFonts w:ascii="Arial" w:eastAsia="Times New Roman" w:hAnsi="Arial" w:cs="Arial"/>
                <w:b/>
                <w:lang w:eastAsia="en-GB"/>
              </w:rPr>
              <w:t>:07/02/2019</w:t>
            </w:r>
          </w:p>
          <w:p w:rsidR="006C677D" w:rsidRPr="0090668B" w:rsidRDefault="006C677D" w:rsidP="001B4788">
            <w:pPr>
              <w:spacing w:after="0" w:line="240" w:lineRule="auto"/>
              <w:rPr>
                <w:rFonts w:ascii="Arial" w:eastAsia="Times New Roman" w:hAnsi="Arial" w:cs="Arial"/>
                <w:b/>
                <w:lang w:eastAsia="en-GB"/>
              </w:rPr>
            </w:pPr>
          </w:p>
        </w:tc>
      </w:tr>
    </w:tbl>
    <w:p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6C677D" w:rsidRPr="0090668B" w:rsidTr="003F6D6A">
        <w:trPr>
          <w:trHeight w:hRule="exact" w:val="578"/>
        </w:trPr>
        <w:tc>
          <w:tcPr>
            <w:tcW w:w="5000" w:type="pct"/>
            <w:shd w:val="clear" w:color="auto" w:fill="7030A0"/>
          </w:tcPr>
          <w:p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roposal, impact on groups with protected characteristics and  mitigating actions</w:t>
            </w:r>
          </w:p>
          <w:p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rsidTr="003F6D6A">
        <w:trPr>
          <w:trHeight w:val="240"/>
        </w:trPr>
        <w:tc>
          <w:tcPr>
            <w:tcW w:w="5000" w:type="pct"/>
            <w:shd w:val="clear" w:color="auto" w:fill="auto"/>
          </w:tcPr>
          <w:p w:rsidR="00C45D88" w:rsidRPr="00C45D88" w:rsidRDefault="0038428B" w:rsidP="00C45D88">
            <w:pPr>
              <w:pStyle w:val="ListParagraph"/>
              <w:numPr>
                <w:ilvl w:val="0"/>
                <w:numId w:val="5"/>
              </w:numPr>
              <w:spacing w:after="240" w:line="240" w:lineRule="auto"/>
              <w:rPr>
                <w:rFonts w:ascii="Arial" w:eastAsia="Times New Roman" w:hAnsi="Arial" w:cs="Arial"/>
                <w:b/>
                <w:sz w:val="24"/>
                <w:szCs w:val="24"/>
                <w:lang w:eastAsia="en-GB"/>
              </w:rPr>
            </w:pPr>
            <w:r w:rsidRPr="00C45D88">
              <w:rPr>
                <w:rFonts w:ascii="Arial" w:eastAsia="Times New Roman" w:hAnsi="Arial" w:cs="Arial"/>
                <w:b/>
                <w:sz w:val="24"/>
                <w:szCs w:val="24"/>
                <w:lang w:eastAsia="en-GB"/>
              </w:rPr>
              <w:t xml:space="preserve">What is your proposal? </w:t>
            </w:r>
            <w:r w:rsidR="00252964" w:rsidRPr="00C45D88">
              <w:rPr>
                <w:rFonts w:ascii="Arial" w:eastAsia="Times New Roman" w:hAnsi="Arial" w:cs="Arial"/>
                <w:b/>
                <w:sz w:val="24"/>
                <w:szCs w:val="24"/>
                <w:lang w:eastAsia="en-GB"/>
              </w:rPr>
              <w:t xml:space="preserve"> </w:t>
            </w:r>
          </w:p>
          <w:p w:rsidR="00C45D88" w:rsidRDefault="00C45D88" w:rsidP="00C45D88">
            <w:pPr>
              <w:pStyle w:val="ListParagraph"/>
              <w:spacing w:after="240" w:line="240" w:lineRule="auto"/>
              <w:rPr>
                <w:rFonts w:ascii="Arial" w:eastAsia="Times New Roman" w:hAnsi="Arial" w:cs="Arial"/>
                <w:sz w:val="24"/>
                <w:szCs w:val="24"/>
                <w:lang w:eastAsia="en-GB"/>
              </w:rPr>
            </w:pPr>
            <w:r w:rsidRPr="00C45D88">
              <w:rPr>
                <w:rFonts w:ascii="Arial" w:eastAsia="Times New Roman" w:hAnsi="Arial" w:cs="Arial"/>
                <w:sz w:val="24"/>
                <w:szCs w:val="24"/>
                <w:lang w:eastAsia="en-GB"/>
              </w:rPr>
              <w:t xml:space="preserve">Reduction in social </w:t>
            </w:r>
            <w:r w:rsidR="00E07ACE">
              <w:rPr>
                <w:rFonts w:ascii="Arial" w:eastAsia="Times New Roman" w:hAnsi="Arial" w:cs="Arial"/>
                <w:sz w:val="24"/>
                <w:szCs w:val="24"/>
                <w:lang w:eastAsia="en-GB"/>
              </w:rPr>
              <w:t xml:space="preserve">rents </w:t>
            </w:r>
            <w:r w:rsidRPr="00C45D88">
              <w:rPr>
                <w:rFonts w:ascii="Arial" w:eastAsia="Times New Roman" w:hAnsi="Arial" w:cs="Arial"/>
                <w:sz w:val="24"/>
                <w:szCs w:val="24"/>
                <w:lang w:eastAsia="en-GB"/>
              </w:rPr>
              <w:t xml:space="preserve">in line with statutory rent reduction </w:t>
            </w:r>
          </w:p>
          <w:p w:rsidR="00C45D88" w:rsidRDefault="00C45D88" w:rsidP="00C45D88">
            <w:pPr>
              <w:pStyle w:val="ListParagraph"/>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Increase in Facilities, service and community hall charges</w:t>
            </w:r>
          </w:p>
          <w:p w:rsidR="006C677D" w:rsidRPr="00C45D88" w:rsidRDefault="00C45D88" w:rsidP="00C45D88">
            <w:pPr>
              <w:pStyle w:val="ListParagraph"/>
              <w:spacing w:after="240" w:line="240" w:lineRule="auto"/>
              <w:rPr>
                <w:rFonts w:ascii="Arial" w:eastAsia="Times New Roman" w:hAnsi="Arial" w:cs="Arial"/>
                <w:b/>
                <w:sz w:val="24"/>
                <w:szCs w:val="24"/>
                <w:lang w:eastAsia="en-GB"/>
              </w:rPr>
            </w:pPr>
            <w:r>
              <w:rPr>
                <w:rFonts w:ascii="Arial" w:eastAsia="Times New Roman" w:hAnsi="Arial" w:cs="Arial"/>
                <w:sz w:val="24"/>
                <w:szCs w:val="24"/>
                <w:lang w:eastAsia="en-GB"/>
              </w:rPr>
              <w:t>P</w:t>
            </w:r>
            <w:r w:rsidRPr="00C45D88">
              <w:rPr>
                <w:rFonts w:ascii="Arial" w:eastAsia="Times New Roman" w:hAnsi="Arial" w:cs="Arial"/>
                <w:sz w:val="24"/>
                <w:szCs w:val="24"/>
                <w:lang w:eastAsia="en-GB"/>
              </w:rPr>
              <w:t>roposals for new housing development</w:t>
            </w:r>
          </w:p>
        </w:tc>
      </w:tr>
      <w:tr w:rsidR="001B4788" w:rsidRPr="0090668B" w:rsidTr="003F6D6A">
        <w:trPr>
          <w:trHeight w:val="240"/>
        </w:trPr>
        <w:tc>
          <w:tcPr>
            <w:tcW w:w="5000" w:type="pct"/>
            <w:shd w:val="clear" w:color="auto" w:fill="auto"/>
          </w:tcPr>
          <w:p w:rsidR="001B4788" w:rsidRDefault="001B4788" w:rsidP="001B4788">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Summarise the  impact  of your  proposal on groups with protected characteristics</w:t>
            </w:r>
            <w:r>
              <w:rPr>
                <w:rFonts w:ascii="Arial" w:eastAsia="Times New Roman" w:hAnsi="Arial" w:cs="Arial"/>
                <w:b/>
                <w:sz w:val="20"/>
                <w:szCs w:val="20"/>
                <w:lang w:eastAsia="en-GB"/>
              </w:rPr>
              <w:t xml:space="preserve"> </w:t>
            </w:r>
          </w:p>
          <w:p w:rsidR="00252964" w:rsidRDefault="00252964" w:rsidP="001B4788">
            <w:pPr>
              <w:spacing w:after="0" w:line="240" w:lineRule="auto"/>
              <w:rPr>
                <w:rFonts w:ascii="Arial" w:eastAsia="Times New Roman" w:hAnsi="Arial" w:cs="Arial"/>
                <w:b/>
                <w:sz w:val="20"/>
                <w:szCs w:val="20"/>
                <w:lang w:eastAsia="en-GB"/>
              </w:rPr>
            </w:pPr>
          </w:p>
          <w:p w:rsidR="00020127" w:rsidRDefault="00C45D88" w:rsidP="00C45D88">
            <w:pPr>
              <w:pStyle w:val="ListParagraph"/>
              <w:spacing w:after="240" w:line="240" w:lineRule="auto"/>
              <w:rPr>
                <w:rFonts w:ascii="Arial" w:eastAsia="Times New Roman" w:hAnsi="Arial" w:cs="Arial"/>
                <w:sz w:val="24"/>
                <w:szCs w:val="24"/>
                <w:lang w:eastAsia="en-GB"/>
              </w:rPr>
            </w:pPr>
            <w:r w:rsidRPr="00C45D88">
              <w:rPr>
                <w:rFonts w:ascii="Arial" w:eastAsia="Times New Roman" w:hAnsi="Arial" w:cs="Arial"/>
                <w:sz w:val="24"/>
                <w:szCs w:val="24"/>
                <w:lang w:eastAsia="en-GB"/>
              </w:rPr>
              <w:t xml:space="preserve">Rents </w:t>
            </w:r>
            <w:r>
              <w:rPr>
                <w:rFonts w:ascii="Arial" w:eastAsia="Times New Roman" w:hAnsi="Arial" w:cs="Arial"/>
                <w:sz w:val="24"/>
                <w:szCs w:val="24"/>
                <w:lang w:eastAsia="en-GB"/>
              </w:rPr>
              <w:t>– statutory 1% rent reduction for 2019-20 which his last year of rent reduction, thereafter to increase by CPI + 1%</w:t>
            </w:r>
          </w:p>
          <w:p w:rsidR="00C45D88" w:rsidRDefault="00C45D88" w:rsidP="00C45D88">
            <w:pPr>
              <w:pStyle w:val="ListParagraph"/>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Facilities &amp; Community Halls – charges to increase by 3% and 4% respectively reflecting cost of services and requirement to legitimately recover cost from tenants</w:t>
            </w:r>
            <w:r w:rsidR="00227D78">
              <w:rPr>
                <w:rFonts w:ascii="Arial" w:eastAsia="Times New Roman" w:hAnsi="Arial" w:cs="Arial"/>
                <w:sz w:val="24"/>
                <w:szCs w:val="24"/>
                <w:lang w:eastAsia="en-GB"/>
              </w:rPr>
              <w:t>.</w:t>
            </w:r>
          </w:p>
          <w:p w:rsidR="00227D78" w:rsidRDefault="00227D78" w:rsidP="00C45D88">
            <w:pPr>
              <w:pStyle w:val="ListParagraph"/>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Tenants will continue to benefit from a reduction in rent.</w:t>
            </w:r>
          </w:p>
          <w:p w:rsidR="00227D78" w:rsidRDefault="00227D78" w:rsidP="00C45D88">
            <w:pPr>
              <w:pStyle w:val="ListParagraph"/>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Impact on Council mitigated by service review programme aimed at prioritising expenditure and services to ensure adverse impact on tenants, if any, is minimised.</w:t>
            </w:r>
          </w:p>
          <w:p w:rsidR="00A138E0" w:rsidRDefault="00A138E0" w:rsidP="00C45D88">
            <w:pPr>
              <w:pStyle w:val="ListParagraph"/>
              <w:spacing w:after="240" w:line="240" w:lineRule="auto"/>
              <w:rPr>
                <w:rFonts w:ascii="Arial" w:eastAsia="Times New Roman" w:hAnsi="Arial" w:cs="Arial"/>
                <w:sz w:val="24"/>
                <w:szCs w:val="24"/>
                <w:lang w:eastAsia="en-GB"/>
              </w:rPr>
            </w:pPr>
          </w:p>
          <w:p w:rsidR="00C45D88" w:rsidRDefault="00C45D88" w:rsidP="00C45D88">
            <w:pPr>
              <w:pStyle w:val="ListParagraph"/>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Tenant Service Charges – increase by CPI 2.4% reflecting increase in associated costs; review of these charges aimed at ensuring </w:t>
            </w:r>
            <w:r w:rsidR="00A138E0">
              <w:rPr>
                <w:rFonts w:ascii="Arial" w:eastAsia="Times New Roman" w:hAnsi="Arial" w:cs="Arial"/>
                <w:sz w:val="24"/>
                <w:szCs w:val="24"/>
                <w:lang w:eastAsia="en-GB"/>
              </w:rPr>
              <w:t>full recovery of all appropriate costs using fair and transparent methodology ongoing; in year adjustment 2019-20 possible following conclusion of project subject to Cabinet approval.</w:t>
            </w:r>
          </w:p>
          <w:p w:rsidR="00A138E0" w:rsidRDefault="00227D78" w:rsidP="00C45D88">
            <w:pPr>
              <w:pStyle w:val="ListParagraph"/>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Charges will help pay for costs of maintaining blocks and estates in shorter term with review aimed at ensuring transparency moving forwards which will assist tenants in selecting those services which can be scaled back or enhanced.</w:t>
            </w:r>
          </w:p>
          <w:p w:rsidR="00227D78" w:rsidRDefault="00227D78" w:rsidP="00C45D88">
            <w:pPr>
              <w:pStyle w:val="ListParagraph"/>
              <w:spacing w:after="240" w:line="240" w:lineRule="auto"/>
              <w:rPr>
                <w:rFonts w:ascii="Arial" w:eastAsia="Times New Roman" w:hAnsi="Arial" w:cs="Arial"/>
                <w:sz w:val="24"/>
                <w:szCs w:val="24"/>
                <w:lang w:eastAsia="en-GB"/>
              </w:rPr>
            </w:pPr>
          </w:p>
          <w:p w:rsidR="00227D78" w:rsidRDefault="00227D78" w:rsidP="00227D78">
            <w:pPr>
              <w:pStyle w:val="ListParagraph"/>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New Housing Development – proposals to build additional 659 new homes using new borrowing freedoms for new build, external grant and freedoms in reinvestment of right to buy receipts.</w:t>
            </w:r>
          </w:p>
          <w:p w:rsidR="001B4788" w:rsidRPr="00445599" w:rsidRDefault="00227D78" w:rsidP="00445599">
            <w:pPr>
              <w:pStyle w:val="ListParagraph"/>
              <w:spacing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Additional supply will comprise affordable rented and shared ownership units and address family sized housing shortage for persons otherwise not adequately serviced by private rented sector. </w:t>
            </w:r>
          </w:p>
        </w:tc>
      </w:tr>
      <w:tr w:rsidR="001B4788" w:rsidRPr="0090668B" w:rsidTr="003F6D6A">
        <w:trPr>
          <w:trHeight w:val="240"/>
        </w:trPr>
        <w:tc>
          <w:tcPr>
            <w:tcW w:w="5000" w:type="pct"/>
            <w:shd w:val="clear" w:color="auto" w:fill="auto"/>
          </w:tcPr>
          <w:p w:rsidR="001B4788" w:rsidRDefault="001B4788" w:rsidP="00C11769">
            <w:pPr>
              <w:spacing w:after="0" w:line="240" w:lineRule="auto"/>
              <w:rPr>
                <w:rFonts w:ascii="Arial" w:eastAsia="Times New Roman" w:hAnsi="Arial" w:cs="Arial"/>
                <w:b/>
                <w:sz w:val="24"/>
                <w:szCs w:val="24"/>
                <w:lang w:eastAsia="en-GB"/>
              </w:rPr>
            </w:pPr>
            <w:r w:rsidRPr="0026078C">
              <w:rPr>
                <w:rFonts w:ascii="Arial" w:eastAsia="Times New Roman" w:hAnsi="Arial" w:cs="Arial"/>
                <w:b/>
                <w:lang w:eastAsia="en-GB"/>
              </w:rPr>
              <w:t>c)</w:t>
            </w:r>
            <w:r>
              <w:rPr>
                <w:rFonts w:ascii="Arial" w:eastAsia="Times New Roman" w:hAnsi="Arial" w:cs="Arial"/>
                <w:b/>
                <w:sz w:val="20"/>
                <w:szCs w:val="20"/>
                <w:lang w:eastAsia="en-GB"/>
              </w:rPr>
              <w:t xml:space="preserve"> </w:t>
            </w:r>
            <w:r w:rsidR="00D47BE3">
              <w:rPr>
                <w:rFonts w:ascii="Arial" w:eastAsia="Times New Roman" w:hAnsi="Arial" w:cs="Arial"/>
                <w:b/>
                <w:sz w:val="20"/>
                <w:szCs w:val="20"/>
                <w:lang w:eastAsia="en-GB"/>
              </w:rPr>
              <w:t xml:space="preserve"> </w:t>
            </w:r>
            <w:r w:rsidR="00BE3CDE">
              <w:rPr>
                <w:rFonts w:ascii="Arial" w:eastAsia="Times New Roman" w:hAnsi="Arial" w:cs="Arial"/>
                <w:b/>
                <w:sz w:val="24"/>
                <w:szCs w:val="24"/>
                <w:lang w:eastAsia="en-GB"/>
              </w:rPr>
              <w:t xml:space="preserve">Summarise any potential negative </w:t>
            </w:r>
            <w:r w:rsidR="00BE3CDE" w:rsidRPr="003A7D5D">
              <w:rPr>
                <w:rFonts w:ascii="Arial" w:eastAsia="Times New Roman" w:hAnsi="Arial" w:cs="Arial"/>
                <w:b/>
                <w:sz w:val="24"/>
                <w:szCs w:val="24"/>
                <w:lang w:eastAsia="en-GB"/>
              </w:rPr>
              <w:t>impact</w:t>
            </w:r>
            <w:r w:rsidR="00BE3CDE">
              <w:rPr>
                <w:rFonts w:ascii="Arial" w:eastAsia="Times New Roman" w:hAnsi="Arial" w:cs="Arial"/>
                <w:b/>
                <w:sz w:val="24"/>
                <w:szCs w:val="24"/>
                <w:lang w:eastAsia="en-GB"/>
              </w:rPr>
              <w:t xml:space="preserve">(s) </w:t>
            </w:r>
            <w:r w:rsidR="00C11769">
              <w:rPr>
                <w:rFonts w:ascii="Arial" w:eastAsia="Times New Roman" w:hAnsi="Arial" w:cs="Arial"/>
                <w:b/>
                <w:sz w:val="24"/>
                <w:szCs w:val="24"/>
                <w:lang w:eastAsia="en-GB"/>
              </w:rPr>
              <w:t>identified</w:t>
            </w:r>
            <w:r w:rsidR="00BE3CDE">
              <w:rPr>
                <w:rFonts w:ascii="Arial" w:eastAsia="Times New Roman" w:hAnsi="Arial" w:cs="Arial"/>
                <w:b/>
                <w:sz w:val="24"/>
                <w:szCs w:val="24"/>
                <w:lang w:eastAsia="en-GB"/>
              </w:rPr>
              <w:t xml:space="preserve"> </w:t>
            </w:r>
            <w:r w:rsidR="00BE3CDE" w:rsidRPr="003A7D5D">
              <w:rPr>
                <w:rFonts w:ascii="Arial" w:eastAsia="Times New Roman" w:hAnsi="Arial" w:cs="Arial"/>
                <w:b/>
                <w:sz w:val="24"/>
                <w:szCs w:val="24"/>
                <w:lang w:eastAsia="en-GB"/>
              </w:rPr>
              <w:t>and mitigating actions</w:t>
            </w:r>
          </w:p>
          <w:p w:rsidR="00252964" w:rsidRDefault="00252964" w:rsidP="00C11769">
            <w:pPr>
              <w:spacing w:after="0" w:line="240" w:lineRule="auto"/>
              <w:rPr>
                <w:rFonts w:ascii="Arial" w:eastAsia="Times New Roman" w:hAnsi="Arial" w:cs="Arial"/>
                <w:b/>
                <w:sz w:val="24"/>
                <w:szCs w:val="24"/>
                <w:lang w:eastAsia="en-GB"/>
              </w:rPr>
            </w:pPr>
          </w:p>
          <w:p w:rsidR="00043F2E" w:rsidRDefault="00043F2E" w:rsidP="00C11769">
            <w:pPr>
              <w:spacing w:after="0" w:line="240" w:lineRule="auto"/>
              <w:rPr>
                <w:rFonts w:ascii="Arial" w:eastAsia="Times New Roman" w:hAnsi="Arial" w:cs="Arial"/>
                <w:sz w:val="24"/>
                <w:szCs w:val="24"/>
                <w:lang w:eastAsia="en-GB"/>
              </w:rPr>
            </w:pPr>
            <w:r w:rsidRPr="00043F2E">
              <w:rPr>
                <w:rFonts w:ascii="Arial" w:eastAsia="Times New Roman" w:hAnsi="Arial" w:cs="Arial"/>
                <w:sz w:val="24"/>
                <w:szCs w:val="24"/>
                <w:lang w:eastAsia="en-GB"/>
              </w:rPr>
              <w:t>Increases in service and other charges reflect cost of provision reviews aimed at ensuring full cost recovery and transparency in progress.</w:t>
            </w:r>
          </w:p>
          <w:p w:rsidR="00445599" w:rsidRDefault="00445599" w:rsidP="00C11769">
            <w:pPr>
              <w:spacing w:after="0" w:line="240" w:lineRule="auto"/>
              <w:rPr>
                <w:rFonts w:ascii="Arial" w:eastAsia="Times New Roman" w:hAnsi="Arial" w:cs="Arial"/>
                <w:sz w:val="24"/>
                <w:szCs w:val="24"/>
                <w:lang w:eastAsia="en-GB"/>
              </w:rPr>
            </w:pPr>
          </w:p>
          <w:p w:rsidR="00043F2E" w:rsidRDefault="00043F2E" w:rsidP="00C1176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New build programme will bring significant risks to Council and these will be mitigated by setting up adequate financial reserves to offset adverse impacts e.g. increases in interest rates or build costs.</w:t>
            </w:r>
          </w:p>
          <w:p w:rsidR="00043F2E" w:rsidRDefault="00043F2E" w:rsidP="00C11769">
            <w:pPr>
              <w:spacing w:after="0" w:line="240" w:lineRule="auto"/>
              <w:rPr>
                <w:rFonts w:ascii="Arial" w:eastAsia="Times New Roman" w:hAnsi="Arial" w:cs="Arial"/>
                <w:sz w:val="24"/>
                <w:szCs w:val="24"/>
                <w:lang w:eastAsia="en-GB"/>
              </w:rPr>
            </w:pPr>
          </w:p>
          <w:p w:rsidR="00043F2E" w:rsidRDefault="001E2225" w:rsidP="00C1176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Mitigations will prevent adverse impact on front line services and ensure continuity for tenants and leaseholders in the Borough.</w:t>
            </w:r>
          </w:p>
          <w:p w:rsidR="00535C84" w:rsidRDefault="00535C84" w:rsidP="00C11769">
            <w:pPr>
              <w:spacing w:after="0" w:line="240" w:lineRule="auto"/>
              <w:rPr>
                <w:rFonts w:ascii="Arial" w:eastAsia="Times New Roman" w:hAnsi="Arial" w:cs="Arial"/>
                <w:sz w:val="24"/>
                <w:szCs w:val="24"/>
                <w:lang w:eastAsia="en-GB"/>
              </w:rPr>
            </w:pPr>
          </w:p>
          <w:p w:rsidR="00252964" w:rsidRPr="00445599" w:rsidRDefault="00535C84" w:rsidP="00C1176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Tenants experiencing payment difficulties have recourse to specialist advice from HRA Resident Services who can advise on impact of Government’s Welfare Reforms (mainly Universal Credit). These include payment plans, budgeting and alternative accommodation in the case of under occupation. Assistance and advice of this type is a key and important part of the service provided by Council’</w:t>
            </w:r>
            <w:r w:rsidR="00445599">
              <w:rPr>
                <w:rFonts w:ascii="Arial" w:eastAsia="Times New Roman" w:hAnsi="Arial" w:cs="Arial"/>
                <w:sz w:val="24"/>
                <w:szCs w:val="24"/>
                <w:lang w:eastAsia="en-GB"/>
              </w:rPr>
              <w:t>s HRA.</w:t>
            </w:r>
          </w:p>
          <w:p w:rsidR="00252964" w:rsidRPr="001B4788" w:rsidRDefault="00252964" w:rsidP="00C11769">
            <w:pPr>
              <w:spacing w:after="0" w:line="240" w:lineRule="auto"/>
              <w:rPr>
                <w:rFonts w:ascii="Arial" w:eastAsia="Times New Roman" w:hAnsi="Arial" w:cs="Arial"/>
                <w:b/>
                <w:sz w:val="20"/>
                <w:szCs w:val="20"/>
                <w:lang w:eastAsia="en-GB"/>
              </w:rPr>
            </w:pPr>
          </w:p>
        </w:tc>
      </w:tr>
    </w:tbl>
    <w:p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lastRenderedPageBreak/>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rsidTr="00FC220A">
        <w:trPr>
          <w:trHeight w:val="227"/>
        </w:trPr>
        <w:tc>
          <w:tcPr>
            <w:tcW w:w="10490" w:type="dxa"/>
            <w:gridSpan w:val="2"/>
            <w:tcBorders>
              <w:bottom w:val="single" w:sz="4" w:space="0" w:color="auto"/>
            </w:tcBorders>
            <w:shd w:val="clear" w:color="auto" w:fill="7030A0"/>
          </w:tcPr>
          <w:p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rsidTr="00FC220A">
        <w:trPr>
          <w:trHeight w:val="831"/>
        </w:trPr>
        <w:tc>
          <w:tcPr>
            <w:tcW w:w="10490" w:type="dxa"/>
            <w:gridSpan w:val="2"/>
            <w:tcBorders>
              <w:bottom w:val="single" w:sz="4" w:space="0" w:color="auto"/>
            </w:tcBorders>
            <w:shd w:val="clear" w:color="auto" w:fill="7030A0"/>
          </w:tcPr>
          <w:p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w:t>
            </w:r>
            <w:proofErr w:type="gramStart"/>
            <w:r w:rsidR="00C42B23">
              <w:rPr>
                <w:rFonts w:ascii="Arial" w:eastAsia="Times New Roman" w:hAnsi="Arial" w:cs="Arial"/>
                <w:color w:val="FFFFFF"/>
                <w:lang w:eastAsia="en-GB"/>
              </w:rPr>
              <w:t xml:space="preserve">to </w:t>
            </w:r>
            <w:proofErr w:type="gramEnd"/>
            <w:r w:rsidR="00533009">
              <w:fldChar w:fldCharType="begin"/>
            </w:r>
            <w:r w:rsidR="00533009">
              <w:instrText xml:space="preserve"> HYPERLINK "https://harrowhub.harrow.gov.uk/info/200341/equality_impact_assessments/1604/data_guide_-_inequality_impact_assessment" </w:instrText>
            </w:r>
            <w:r w:rsidR="00533009">
              <w:fldChar w:fldCharType="separate"/>
            </w:r>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r w:rsidR="00533009">
              <w:rPr>
                <w:rStyle w:val="Hyperlink"/>
                <w:rFonts w:ascii="Arial" w:eastAsia="Times New Roman" w:hAnsi="Arial" w:cs="Arial"/>
                <w:color w:val="FFFFFF" w:themeColor="background1"/>
                <w:lang w:eastAsia="en-GB"/>
              </w:rPr>
              <w:fldChar w:fldCharType="end"/>
            </w:r>
            <w:r w:rsidR="003E432D">
              <w:rPr>
                <w:rFonts w:ascii="Arial" w:eastAsia="Times New Roman" w:hAnsi="Arial" w:cs="Arial"/>
                <w:color w:val="FFFFFF"/>
                <w:lang w:eastAsia="en-GB"/>
              </w:rPr>
              <w:t xml:space="preserve">, </w:t>
            </w:r>
            <w:hyperlink r:id="rId18"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rsidTr="00FC220A">
        <w:trPr>
          <w:cantSplit/>
          <w:trHeight w:val="570"/>
        </w:trPr>
        <w:tc>
          <w:tcPr>
            <w:tcW w:w="1701" w:type="dxa"/>
            <w:vMerge w:val="restart"/>
            <w:shd w:val="clear" w:color="auto" w:fill="7030A0"/>
          </w:tcPr>
          <w:p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rsidR="00FC220A" w:rsidRDefault="00FC220A" w:rsidP="001B4788">
            <w:pPr>
              <w:spacing w:after="0" w:line="240" w:lineRule="auto"/>
              <w:ind w:left="113" w:right="113"/>
              <w:rPr>
                <w:rFonts w:ascii="Arial" w:eastAsia="Times New Roman" w:hAnsi="Arial" w:cs="Arial"/>
                <w:color w:val="FFFFFF"/>
                <w:lang w:eastAsia="en-GB"/>
              </w:rPr>
            </w:pPr>
          </w:p>
          <w:p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rsidTr="00FC220A">
        <w:trPr>
          <w:cantSplit/>
          <w:trHeight w:val="988"/>
        </w:trPr>
        <w:tc>
          <w:tcPr>
            <w:tcW w:w="1701" w:type="dxa"/>
            <w:vMerge/>
            <w:tcBorders>
              <w:bottom w:val="single" w:sz="4" w:space="0" w:color="auto"/>
            </w:tcBorders>
            <w:shd w:val="clear" w:color="auto" w:fill="7030A0"/>
          </w:tcPr>
          <w:p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rsidR="00FC220A" w:rsidRDefault="00FC220A" w:rsidP="00FC220A">
            <w:pPr>
              <w:spacing w:after="0" w:line="240" w:lineRule="auto"/>
              <w:ind w:left="113" w:right="113"/>
              <w:rPr>
                <w:rFonts w:ascii="Arial" w:eastAsia="Times New Roman" w:hAnsi="Arial" w:cs="Arial"/>
                <w:color w:val="FFFFFF"/>
                <w:lang w:eastAsia="en-GB"/>
              </w:rPr>
            </w:pPr>
          </w:p>
          <w:p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rsidR="00FC220A" w:rsidRDefault="00FC220A" w:rsidP="001B4788">
            <w:pPr>
              <w:spacing w:after="0" w:line="240" w:lineRule="auto"/>
              <w:ind w:left="113" w:right="113"/>
              <w:rPr>
                <w:rFonts w:ascii="Arial" w:eastAsia="Times New Roman" w:hAnsi="Arial" w:cs="Arial"/>
                <w:color w:val="FFFFFF"/>
                <w:lang w:eastAsia="en-GB"/>
              </w:rPr>
            </w:pPr>
          </w:p>
          <w:p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rsidTr="00FC220A">
        <w:trPr>
          <w:trHeight w:val="816"/>
        </w:trPr>
        <w:tc>
          <w:tcPr>
            <w:tcW w:w="1701" w:type="dxa"/>
            <w:shd w:val="clear" w:color="auto" w:fill="7030A0"/>
          </w:tcPr>
          <w:p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rsidR="00150A2B" w:rsidRPr="00150A2B" w:rsidRDefault="00150A2B" w:rsidP="00150A2B">
            <w:pPr>
              <w:autoSpaceDE w:val="0"/>
              <w:autoSpaceDN w:val="0"/>
              <w:adjustRightInd w:val="0"/>
              <w:spacing w:after="0" w:line="240" w:lineRule="auto"/>
              <w:rPr>
                <w:rFonts w:ascii="Arial" w:eastAsia="Times New Roman" w:hAnsi="Arial" w:cs="Arial"/>
                <w:sz w:val="24"/>
                <w:szCs w:val="24"/>
                <w:lang w:val="en-US"/>
              </w:rPr>
            </w:pPr>
            <w:r w:rsidRPr="00150A2B">
              <w:rPr>
                <w:rFonts w:ascii="Arial" w:eastAsia="Times New Roman" w:hAnsi="Arial" w:cs="Arial"/>
                <w:b/>
                <w:sz w:val="24"/>
                <w:szCs w:val="24"/>
                <w:lang w:val="en-US"/>
              </w:rPr>
              <w:t>Population</w:t>
            </w:r>
            <w:r w:rsidRPr="00150A2B">
              <w:rPr>
                <w:rFonts w:ascii="Arial" w:eastAsia="Times New Roman" w:hAnsi="Arial" w:cs="Arial"/>
                <w:sz w:val="24"/>
                <w:szCs w:val="24"/>
                <w:lang w:val="en-US"/>
              </w:rPr>
              <w:t>: Harrow’s resident population is estimated to be 248</w:t>
            </w:r>
            <w:proofErr w:type="gramStart"/>
            <w:r w:rsidRPr="00150A2B">
              <w:rPr>
                <w:rFonts w:ascii="Arial" w:eastAsia="Times New Roman" w:hAnsi="Arial" w:cs="Arial"/>
                <w:sz w:val="24"/>
                <w:szCs w:val="24"/>
                <w:lang w:val="en-US"/>
              </w:rPr>
              <w:t>,7501</w:t>
            </w:r>
            <w:proofErr w:type="gramEnd"/>
            <w:r w:rsidRPr="00150A2B">
              <w:rPr>
                <w:rFonts w:ascii="Arial" w:eastAsia="Times New Roman" w:hAnsi="Arial" w:cs="Arial"/>
                <w:sz w:val="24"/>
                <w:szCs w:val="24"/>
                <w:lang w:val="en-US"/>
              </w:rPr>
              <w:t xml:space="preserve"> so Harrow’s population is estimated to have increased by 42,550 (20.5%) since 2001. </w:t>
            </w:r>
          </w:p>
          <w:p w:rsidR="00150A2B" w:rsidRPr="00EE25F1" w:rsidRDefault="00150A2B" w:rsidP="00150A2B">
            <w:pPr>
              <w:autoSpaceDE w:val="0"/>
              <w:autoSpaceDN w:val="0"/>
              <w:adjustRightInd w:val="0"/>
              <w:spacing w:after="0" w:line="240" w:lineRule="auto"/>
              <w:rPr>
                <w:rFonts w:ascii="Arial" w:eastAsia="Times New Roman" w:hAnsi="Arial" w:cs="Arial"/>
                <w:sz w:val="24"/>
                <w:szCs w:val="24"/>
                <w:lang w:val="en-US"/>
              </w:rPr>
            </w:pPr>
            <w:r w:rsidRPr="002A696C">
              <w:rPr>
                <w:rFonts w:ascii="Arial" w:eastAsia="Times New Roman" w:hAnsi="Arial" w:cs="Arial"/>
                <w:b/>
                <w:sz w:val="24"/>
                <w:szCs w:val="24"/>
                <w:lang w:val="en-US"/>
              </w:rPr>
              <w:t>Age</w:t>
            </w:r>
            <w:r w:rsidRPr="002A696C">
              <w:rPr>
                <w:rFonts w:ascii="Arial" w:eastAsia="Times New Roman" w:hAnsi="Arial" w:cs="Arial"/>
                <w:sz w:val="24"/>
                <w:szCs w:val="24"/>
                <w:lang w:val="en-US"/>
              </w:rPr>
              <w:t xml:space="preserve"> – 20.6% of Harrow’s residents are under 16. 64.2% of Harrow’s population are of working age (16 to 64) and 15.2% of Harrow’s residents are 65 or older.2 The average (median) age is 37.4 years, lower than many other places3. As with most areas in the country, the borough has an aging population. It is expected that the number of residents aged 65 plus will increase by 41% and those aged 85 plus could increase by over 67% by 20314. It is also expected that the number of children (0-15) will also increase by 14% during the 10 year period </w:t>
            </w:r>
            <w:proofErr w:type="gramStart"/>
            <w:r w:rsidRPr="002A696C">
              <w:rPr>
                <w:rFonts w:ascii="Arial" w:eastAsia="Times New Roman" w:hAnsi="Arial" w:cs="Arial"/>
                <w:sz w:val="24"/>
                <w:szCs w:val="24"/>
                <w:lang w:val="en-US"/>
              </w:rPr>
              <w:t>between 2014 – 2024</w:t>
            </w:r>
            <w:proofErr w:type="gramEnd"/>
            <w:r w:rsidRPr="002A696C">
              <w:rPr>
                <w:rFonts w:ascii="Arial" w:eastAsia="Times New Roman" w:hAnsi="Arial" w:cs="Arial"/>
                <w:sz w:val="24"/>
                <w:szCs w:val="24"/>
                <w:lang w:val="en-US"/>
              </w:rPr>
              <w:t>.</w:t>
            </w:r>
          </w:p>
          <w:p w:rsidR="00EE25F1" w:rsidRPr="00EE25F1" w:rsidRDefault="00EE25F1" w:rsidP="00EE25F1">
            <w:pPr>
              <w:autoSpaceDE w:val="0"/>
              <w:autoSpaceDN w:val="0"/>
              <w:adjustRightInd w:val="0"/>
              <w:spacing w:after="0" w:line="240" w:lineRule="auto"/>
              <w:rPr>
                <w:rFonts w:ascii="Arial" w:eastAsia="Times New Roman" w:hAnsi="Arial" w:cs="Arial"/>
                <w:sz w:val="24"/>
                <w:szCs w:val="24"/>
                <w:lang w:val="en-US"/>
              </w:rPr>
            </w:pPr>
          </w:p>
          <w:p w:rsidR="00701D5A" w:rsidRPr="0090668B" w:rsidRDefault="00535C84" w:rsidP="00535C84">
            <w:pPr>
              <w:spacing w:after="160" w:line="240" w:lineRule="exact"/>
              <w:rPr>
                <w:rFonts w:ascii="Arial" w:eastAsia="Times New Roman" w:hAnsi="Arial" w:cs="Arial"/>
                <w:color w:val="0000FF"/>
                <w:u w:val="single"/>
                <w:lang w:val="en-US"/>
              </w:rPr>
            </w:pPr>
            <w:r>
              <w:rPr>
                <w:rFonts w:ascii="Arial" w:eastAsia="Times New Roman" w:hAnsi="Arial" w:cs="Arial"/>
                <w:sz w:val="24"/>
                <w:szCs w:val="24"/>
                <w:lang w:val="en-US"/>
              </w:rPr>
              <w:t>A</w:t>
            </w:r>
            <w:r w:rsidR="00EE25F1" w:rsidRPr="00EE25F1">
              <w:rPr>
                <w:rFonts w:ascii="Arial" w:eastAsia="Times New Roman" w:hAnsi="Arial" w:cs="Arial"/>
                <w:sz w:val="24"/>
                <w:szCs w:val="24"/>
                <w:lang w:val="en-US"/>
              </w:rPr>
              <w:t>ge profile of users of all of the services covered by report has not been collated</w:t>
            </w:r>
            <w:r>
              <w:rPr>
                <w:rFonts w:ascii="Arial" w:eastAsia="Times New Roman" w:hAnsi="Arial" w:cs="Arial"/>
                <w:sz w:val="24"/>
                <w:szCs w:val="24"/>
                <w:lang w:val="en-US"/>
              </w:rPr>
              <w:t>. Increase in rents in line with statutory requirements and other charges considered fair and reasonable.</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rsidR="00701D5A" w:rsidRPr="00701D5A" w:rsidRDefault="00516FE1"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1"/>
                <w14:checkedState w14:val="2612" w14:font="MS Gothic"/>
                <w14:uncheckedState w14:val="2610" w14:font="MS Gothic"/>
              </w14:checkbox>
            </w:sdtPr>
            <w:sdtEndPr/>
            <w:sdtContent>
              <w:p w:rsidR="00701D5A" w:rsidRPr="00701D5A" w:rsidRDefault="00535C84"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rsidR="00701D5A" w:rsidRPr="00701D5A" w:rsidRDefault="00535C84"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rsidTr="00FC220A">
        <w:trPr>
          <w:trHeight w:val="766"/>
        </w:trPr>
        <w:tc>
          <w:tcPr>
            <w:tcW w:w="1701" w:type="dxa"/>
            <w:tcBorders>
              <w:bottom w:val="single" w:sz="4" w:space="0" w:color="auto"/>
            </w:tcBorders>
            <w:shd w:val="clear" w:color="auto" w:fill="7030A0"/>
          </w:tcPr>
          <w:p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rsidR="00EE25F1" w:rsidRPr="002A696C" w:rsidRDefault="00EE25F1" w:rsidP="00150A2B">
            <w:pPr>
              <w:autoSpaceDE w:val="0"/>
              <w:autoSpaceDN w:val="0"/>
              <w:adjustRightInd w:val="0"/>
              <w:spacing w:after="0" w:line="240" w:lineRule="auto"/>
              <w:rPr>
                <w:rFonts w:ascii="Arial" w:eastAsia="Times New Roman" w:hAnsi="Arial" w:cs="Arial"/>
                <w:sz w:val="24"/>
                <w:szCs w:val="24"/>
                <w:lang w:val="en-US"/>
              </w:rPr>
            </w:pPr>
            <w:r w:rsidRPr="00EE25F1">
              <w:rPr>
                <w:rFonts w:ascii="Arial" w:eastAsia="Times New Roman" w:hAnsi="Arial" w:cs="Arial"/>
                <w:b/>
                <w:bCs/>
                <w:sz w:val="24"/>
                <w:szCs w:val="24"/>
                <w:lang w:val="en-US"/>
              </w:rPr>
              <w:t>Harrow profile*</w:t>
            </w:r>
            <w:r w:rsidRPr="00EE25F1">
              <w:rPr>
                <w:rFonts w:ascii="Arial" w:eastAsia="Times New Roman" w:hAnsi="Arial" w:cs="Arial"/>
                <w:sz w:val="24"/>
                <w:szCs w:val="24"/>
                <w:lang w:val="en-US"/>
              </w:rPr>
              <w:t xml:space="preserve">: </w:t>
            </w:r>
            <w:r w:rsidR="00150A2B" w:rsidRPr="002A696C">
              <w:rPr>
                <w:rFonts w:ascii="Arial" w:eastAsia="Times New Roman" w:hAnsi="Arial" w:cs="Arial"/>
                <w:b/>
                <w:sz w:val="24"/>
                <w:szCs w:val="24"/>
                <w:lang w:val="en-US"/>
              </w:rPr>
              <w:t>Disability</w:t>
            </w:r>
            <w:r w:rsidR="00150A2B" w:rsidRPr="002A696C">
              <w:rPr>
                <w:rFonts w:ascii="Arial" w:eastAsia="Times New Roman" w:hAnsi="Arial" w:cs="Arial"/>
                <w:sz w:val="24"/>
                <w:szCs w:val="24"/>
                <w:lang w:val="en-US"/>
              </w:rPr>
              <w:t xml:space="preserve"> – 13.7% of Harrow’s working age population classified themselves as disabled, a total of 22,100 people5. 6,470 individuals, 2.6% of the total population, receive Disability Living Allowance.6 A total of 2302 </w:t>
            </w:r>
            <w:r w:rsidR="00150A2B" w:rsidRPr="002A696C">
              <w:rPr>
                <w:rFonts w:ascii="Arial" w:eastAsia="Times New Roman" w:hAnsi="Arial" w:cs="Arial"/>
                <w:sz w:val="24"/>
                <w:szCs w:val="24"/>
                <w:lang w:val="en-US"/>
              </w:rPr>
              <w:lastRenderedPageBreak/>
              <w:t>people received long term social care services primarily for physical support needs during 2016-17. This is about 1% of the total resident population. An additional 86 people received long term support primarily for sensory impairments. There were 575 Harrow residents receiving long-term social care support from Harrow Adult Social Care Services for learning disabilities during ‘16-17. 518 (approximately 90%) were younger adults under the age of 65. (</w:t>
            </w:r>
            <w:proofErr w:type="gramStart"/>
            <w:r w:rsidR="00150A2B" w:rsidRPr="002A696C">
              <w:rPr>
                <w:rFonts w:ascii="Arial" w:eastAsia="Times New Roman" w:hAnsi="Arial" w:cs="Arial"/>
                <w:sz w:val="24"/>
                <w:szCs w:val="24"/>
                <w:lang w:val="en-US"/>
              </w:rPr>
              <w:t>source</w:t>
            </w:r>
            <w:proofErr w:type="gramEnd"/>
            <w:r w:rsidR="00150A2B" w:rsidRPr="002A696C">
              <w:rPr>
                <w:rFonts w:ascii="Arial" w:eastAsia="Times New Roman" w:hAnsi="Arial" w:cs="Arial"/>
                <w:sz w:val="24"/>
                <w:szCs w:val="24"/>
                <w:lang w:val="en-US"/>
              </w:rPr>
              <w:t>: SALT). 18% of younger adults with learning disabilities were in paid employment during the year. In comparison to London (7.2%) and England (5.7%), Harrow has a high number of LD clients who are in employment. In 2016-17, 73% younger adults with learning disabilities were in settled accommodation (with security of tenure). This is slightly below the England average (76%), but is above that of London (71%).</w:t>
            </w:r>
          </w:p>
          <w:p w:rsidR="00EE25F1" w:rsidRPr="00EE25F1" w:rsidRDefault="00EE25F1" w:rsidP="00EE25F1">
            <w:pPr>
              <w:autoSpaceDE w:val="0"/>
              <w:autoSpaceDN w:val="0"/>
              <w:adjustRightInd w:val="0"/>
              <w:spacing w:after="0" w:line="240" w:lineRule="auto"/>
              <w:rPr>
                <w:rFonts w:ascii="Arial" w:eastAsia="Times New Roman" w:hAnsi="Arial" w:cs="Arial"/>
                <w:sz w:val="16"/>
                <w:szCs w:val="16"/>
                <w:highlight w:val="yellow"/>
                <w:lang w:val="en-US"/>
              </w:rPr>
            </w:pPr>
          </w:p>
          <w:p w:rsidR="00701D5A" w:rsidRPr="0090668B" w:rsidRDefault="00B55E3B" w:rsidP="00B55E3B">
            <w:pPr>
              <w:spacing w:after="160" w:line="240" w:lineRule="auto"/>
              <w:rPr>
                <w:rFonts w:ascii="Arial" w:eastAsia="Times New Roman" w:hAnsi="Arial" w:cs="Arial"/>
                <w:lang w:val="en-US"/>
              </w:rPr>
            </w:pPr>
            <w:r>
              <w:rPr>
                <w:rFonts w:ascii="Arial" w:eastAsia="Times New Roman" w:hAnsi="Arial" w:cs="Arial"/>
                <w:sz w:val="24"/>
                <w:szCs w:val="24"/>
                <w:lang w:val="en-US"/>
              </w:rPr>
              <w:t>Disability</w:t>
            </w:r>
            <w:r w:rsidRPr="00EE25F1">
              <w:rPr>
                <w:rFonts w:ascii="Arial" w:eastAsia="Times New Roman" w:hAnsi="Arial" w:cs="Arial"/>
                <w:sz w:val="24"/>
                <w:szCs w:val="24"/>
                <w:lang w:val="en-US"/>
              </w:rPr>
              <w:t xml:space="preserve"> profile of users of all of the services covered by report has not been collated</w:t>
            </w:r>
            <w:r>
              <w:rPr>
                <w:rFonts w:ascii="Arial" w:eastAsia="Times New Roman" w:hAnsi="Arial" w:cs="Arial"/>
                <w:sz w:val="24"/>
                <w:szCs w:val="24"/>
                <w:lang w:val="en-US"/>
              </w:rPr>
              <w:t>. Increase in rents in line with statutory requirements and other charges considered fair and reasonable. Specific adaptations for Council tenants included as part of capital program and commitment to wellbeing of disabled tenants remain priority for the service.</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1"/>
                <w14:checkedState w14:val="2612" w14:font="MS Gothic"/>
                <w14:uncheckedState w14:val="2610" w14:font="MS Gothic"/>
              </w14:checkbox>
            </w:sdtPr>
            <w:sdtEndPr/>
            <w:sdtContent>
              <w:p w:rsidR="00701D5A" w:rsidRPr="00701D5A" w:rsidRDefault="00B55E3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rsidR="00701D5A" w:rsidRPr="00701D5A" w:rsidRDefault="00B55E3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rsidTr="00FC220A">
        <w:trPr>
          <w:trHeight w:val="240"/>
        </w:trPr>
        <w:tc>
          <w:tcPr>
            <w:tcW w:w="1701" w:type="dxa"/>
            <w:shd w:val="clear" w:color="auto" w:fill="7030A0"/>
          </w:tcPr>
          <w:p w:rsidR="00050ECA" w:rsidRDefault="00050ECA" w:rsidP="00050ECA">
            <w:pPr>
              <w:spacing w:after="0" w:line="240" w:lineRule="auto"/>
              <w:rPr>
                <w:rFonts w:ascii="Arial" w:eastAsia="Times New Roman" w:hAnsi="Arial" w:cs="Arial"/>
                <w:bCs/>
                <w:color w:val="FFFFFF"/>
                <w:lang w:eastAsia="en-GB"/>
              </w:rPr>
            </w:pPr>
          </w:p>
          <w:p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rsidR="00EE25F1" w:rsidRDefault="00EE25F1" w:rsidP="007F348A">
            <w:pPr>
              <w:spacing w:after="0" w:line="240" w:lineRule="auto"/>
              <w:rPr>
                <w:rFonts w:ascii="TTE2D0F008t00" w:hAnsi="TTE2D0F008t00" w:cs="TTE2D0F008t00"/>
                <w:sz w:val="23"/>
                <w:szCs w:val="23"/>
                <w:lang w:val="en-US"/>
              </w:rPr>
            </w:pPr>
          </w:p>
          <w:p w:rsidR="00701D5A" w:rsidRPr="0090668B" w:rsidRDefault="00EE25F1" w:rsidP="007F348A">
            <w:pPr>
              <w:spacing w:after="0" w:line="240" w:lineRule="auto"/>
              <w:rPr>
                <w:rFonts w:ascii="Arial" w:eastAsia="Times New Roman" w:hAnsi="Arial" w:cs="Arial"/>
                <w:sz w:val="16"/>
                <w:szCs w:val="16"/>
                <w:lang w:eastAsia="en-GB"/>
              </w:rPr>
            </w:pPr>
            <w:r w:rsidRPr="002A696C">
              <w:rPr>
                <w:rFonts w:ascii="Arial" w:eastAsia="Times New Roman" w:hAnsi="Arial" w:cs="Arial"/>
                <w:sz w:val="24"/>
                <w:szCs w:val="24"/>
                <w:lang w:val="en-US"/>
              </w:rPr>
              <w:t>This data is currently not available</w:t>
            </w:r>
            <w:r w:rsidR="002A696C">
              <w:rPr>
                <w:rFonts w:ascii="Arial" w:eastAsia="Times New Roman" w:hAnsi="Arial" w:cs="Arial"/>
                <w:sz w:val="24"/>
                <w:szCs w:val="24"/>
                <w:lang w:val="en-US"/>
              </w:rPr>
              <w:t>.</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rsidR="00701D5A" w:rsidRPr="00701D5A" w:rsidRDefault="00F613B4"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rsidTr="00FC220A">
        <w:trPr>
          <w:trHeight w:val="240"/>
        </w:trPr>
        <w:tc>
          <w:tcPr>
            <w:tcW w:w="1701" w:type="dxa"/>
            <w:shd w:val="clear" w:color="auto" w:fill="7030A0"/>
          </w:tcPr>
          <w:p w:rsidR="00701D5A" w:rsidRPr="0090668B" w:rsidRDefault="00701D5A" w:rsidP="001B4788">
            <w:pPr>
              <w:spacing w:after="0" w:line="240" w:lineRule="auto"/>
              <w:jc w:val="center"/>
              <w:rPr>
                <w:rFonts w:ascii="Arial" w:eastAsia="Times New Roman" w:hAnsi="Arial" w:cs="Arial"/>
                <w:bCs/>
                <w:color w:val="FFFFFF"/>
                <w:lang w:eastAsia="en-GB"/>
              </w:rPr>
            </w:pPr>
          </w:p>
          <w:p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rsidR="00701D5A" w:rsidRPr="0090668B" w:rsidRDefault="00701D5A" w:rsidP="001B4788">
            <w:pPr>
              <w:spacing w:after="0" w:line="240" w:lineRule="auto"/>
              <w:rPr>
                <w:rFonts w:ascii="Times New Roman" w:eastAsia="Times New Roman" w:hAnsi="Times New Roman"/>
                <w:sz w:val="16"/>
                <w:szCs w:val="16"/>
                <w:lang w:eastAsia="en-GB"/>
              </w:rPr>
            </w:pPr>
          </w:p>
          <w:p w:rsidR="00701D5A" w:rsidRPr="002A696C" w:rsidRDefault="00150A2B" w:rsidP="00EE25F1">
            <w:pPr>
              <w:spacing w:after="240" w:line="240" w:lineRule="auto"/>
              <w:rPr>
                <w:rFonts w:ascii="Arial" w:eastAsia="Times New Roman" w:hAnsi="Arial" w:cs="Arial"/>
                <w:sz w:val="24"/>
                <w:szCs w:val="24"/>
                <w:lang w:val="en-US"/>
              </w:rPr>
            </w:pPr>
            <w:r w:rsidRPr="002A696C">
              <w:rPr>
                <w:rFonts w:ascii="Arial" w:eastAsia="Times New Roman" w:hAnsi="Arial" w:cs="Arial"/>
                <w:sz w:val="24"/>
                <w:szCs w:val="24"/>
                <w:lang w:val="en-US"/>
              </w:rPr>
              <w:t>54% of Harrow residents are married, the highest level in London. As of 31st December 2016, there have been 142 Civil Partnerships in Harrow, 19 of which have been converted to marriage. There have been 32 same sex marriages in Harrow since inception on 29th March 2014.</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rsidR="00701D5A" w:rsidRPr="00701D5A" w:rsidRDefault="00F613B4"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rsidTr="00FC220A">
        <w:trPr>
          <w:trHeight w:val="284"/>
        </w:trPr>
        <w:tc>
          <w:tcPr>
            <w:tcW w:w="1701" w:type="dxa"/>
            <w:shd w:val="clear" w:color="auto" w:fill="7030A0"/>
            <w:vAlign w:val="center"/>
          </w:tcPr>
          <w:p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rsidR="00FC220A" w:rsidRPr="002A696C" w:rsidRDefault="002A696C" w:rsidP="002A696C">
            <w:pPr>
              <w:spacing w:after="240" w:line="240" w:lineRule="auto"/>
              <w:rPr>
                <w:rFonts w:ascii="Arial" w:eastAsia="Times New Roman" w:hAnsi="Arial" w:cs="Arial"/>
                <w:sz w:val="24"/>
                <w:szCs w:val="24"/>
                <w:lang w:val="en-US"/>
              </w:rPr>
            </w:pPr>
            <w:r>
              <w:rPr>
                <w:rFonts w:ascii="Arial" w:eastAsia="Times New Roman" w:hAnsi="Arial" w:cs="Arial"/>
                <w:sz w:val="24"/>
                <w:szCs w:val="24"/>
                <w:lang w:val="en-US"/>
              </w:rPr>
              <w:t>I</w:t>
            </w:r>
            <w:r w:rsidR="00150A2B" w:rsidRPr="002A696C">
              <w:rPr>
                <w:rFonts w:ascii="Arial" w:eastAsia="Times New Roman" w:hAnsi="Arial" w:cs="Arial"/>
                <w:sz w:val="24"/>
                <w:szCs w:val="24"/>
                <w:lang w:val="en-US"/>
              </w:rPr>
              <w:t xml:space="preserve">n 2016 there were 14.5 live births per 1000 population which is higher than the UK average of 11.8. The fertility rate is 2.03 children per woman, higher than the UK average of 1.79. For women under the age of 18, the birth rate was 3.7 per 1000 population which is in line with the London average of 3.8 and </w:t>
            </w:r>
            <w:proofErr w:type="gramStart"/>
            <w:r w:rsidR="00150A2B" w:rsidRPr="002A696C">
              <w:rPr>
                <w:rFonts w:ascii="Arial" w:eastAsia="Times New Roman" w:hAnsi="Arial" w:cs="Arial"/>
                <w:sz w:val="24"/>
                <w:szCs w:val="24"/>
                <w:lang w:val="en-US"/>
              </w:rPr>
              <w:t>lower</w:t>
            </w:r>
            <w:proofErr w:type="gramEnd"/>
            <w:r w:rsidR="00150A2B" w:rsidRPr="002A696C">
              <w:rPr>
                <w:rFonts w:ascii="Arial" w:eastAsia="Times New Roman" w:hAnsi="Arial" w:cs="Arial"/>
                <w:sz w:val="24"/>
                <w:szCs w:val="24"/>
                <w:lang w:val="en-US"/>
              </w:rPr>
              <w:t xml:space="preserve"> than </w:t>
            </w:r>
            <w:r w:rsidR="00150A2B" w:rsidRPr="002A696C">
              <w:rPr>
                <w:rFonts w:ascii="Arial" w:eastAsia="Times New Roman" w:hAnsi="Arial" w:cs="Arial"/>
                <w:sz w:val="24"/>
                <w:szCs w:val="24"/>
                <w:lang w:val="en-US"/>
              </w:rPr>
              <w:lastRenderedPageBreak/>
              <w:t>the UK average of 5.7. Harrow has the lowest levels of live births outside of m</w:t>
            </w:r>
            <w:r>
              <w:rPr>
                <w:rFonts w:ascii="Arial" w:eastAsia="Times New Roman" w:hAnsi="Arial" w:cs="Arial"/>
                <w:sz w:val="24"/>
                <w:szCs w:val="24"/>
                <w:lang w:val="en-US"/>
              </w:rPr>
              <w:t>arriage in the country (19.4%).</w:t>
            </w:r>
          </w:p>
          <w:p w:rsidR="000F282D" w:rsidRDefault="00B55E3B" w:rsidP="000F282D">
            <w:pPr>
              <w:rPr>
                <w:rFonts w:ascii="Arial" w:hAnsi="Arial" w:cs="Arial"/>
              </w:rPr>
            </w:pPr>
            <w:r>
              <w:rPr>
                <w:rFonts w:ascii="Arial" w:eastAsia="Times New Roman" w:hAnsi="Arial" w:cs="Arial"/>
                <w:sz w:val="24"/>
                <w:szCs w:val="24"/>
                <w:lang w:val="en-US"/>
              </w:rPr>
              <w:t>Pregnancy and Maternity</w:t>
            </w:r>
            <w:r w:rsidRPr="00EE25F1">
              <w:rPr>
                <w:rFonts w:ascii="Arial" w:eastAsia="Times New Roman" w:hAnsi="Arial" w:cs="Arial"/>
                <w:sz w:val="24"/>
                <w:szCs w:val="24"/>
                <w:lang w:val="en-US"/>
              </w:rPr>
              <w:t xml:space="preserve"> profile </w:t>
            </w:r>
            <w:r w:rsidR="00CF7505" w:rsidRPr="00EE25F1">
              <w:rPr>
                <w:rFonts w:ascii="Arial" w:eastAsia="Times New Roman" w:hAnsi="Arial" w:cs="Arial"/>
                <w:sz w:val="24"/>
                <w:szCs w:val="24"/>
                <w:lang w:val="en-US"/>
              </w:rPr>
              <w:t>of users of all of the services covered by report has not been collated</w:t>
            </w:r>
            <w:r w:rsidR="00CF7505">
              <w:rPr>
                <w:rFonts w:ascii="Arial" w:eastAsia="Times New Roman" w:hAnsi="Arial" w:cs="Arial"/>
                <w:sz w:val="24"/>
                <w:szCs w:val="24"/>
                <w:lang w:val="en-US"/>
              </w:rPr>
              <w:t>.</w:t>
            </w:r>
            <w:r w:rsidR="000F282D">
              <w:rPr>
                <w:rFonts w:ascii="Arial" w:hAnsi="Arial" w:cs="Arial"/>
              </w:rPr>
              <w:t xml:space="preserve"> Although we don’t have specific data, the nature of the homes being built are aimed at families and therefore this means that there is a proportionate increase in the chance that the build programme will have a positive impact on this characteristic.’</w:t>
            </w:r>
          </w:p>
          <w:p w:rsidR="00505016" w:rsidRPr="00CF7505" w:rsidRDefault="00CF7505" w:rsidP="00CF7505">
            <w:pPr>
              <w:spacing w:after="160" w:line="240" w:lineRule="exact"/>
              <w:rPr>
                <w:sz w:val="23"/>
                <w:szCs w:val="23"/>
              </w:rPr>
            </w:pPr>
            <w:r>
              <w:rPr>
                <w:rFonts w:ascii="Arial" w:eastAsia="Times New Roman" w:hAnsi="Arial" w:cs="Arial"/>
                <w:sz w:val="24"/>
                <w:szCs w:val="24"/>
                <w:lang w:val="en-US"/>
              </w:rPr>
              <w:t xml:space="preserve"> Increase in rents in line with statutory requirements and other charges considered fair and reasonable; these, together with new build program, will be implemented impartial to this protected characteristic.</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1"/>
                <w14:checkedState w14:val="2612" w14:font="MS Gothic"/>
                <w14:uncheckedState w14:val="2610" w14:font="MS Gothic"/>
              </w14:checkbox>
            </w:sdtPr>
            <w:sdtEndPr/>
            <w:sdtContent>
              <w:p w:rsidR="00FC220A" w:rsidRPr="00701D5A" w:rsidRDefault="00CF7505"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p w:rsidR="00FC220A" w:rsidRPr="00701D5A" w:rsidRDefault="00533009" w:rsidP="007939F1">
            <w:pPr>
              <w:spacing w:before="240" w:after="0" w:line="240" w:lineRule="auto"/>
              <w:ind w:left="113"/>
              <w:rPr>
                <w:rFonts w:ascii="Arial" w:eastAsia="Times New Roman" w:hAnsi="Arial" w:cs="Arial"/>
                <w:b/>
                <w:sz w:val="36"/>
                <w:szCs w:val="36"/>
                <w:lang w:val="en-US"/>
              </w:rPr>
            </w:pPr>
            <w:sdt>
              <w:sdtPr>
                <w:rPr>
                  <w:rFonts w:ascii="Arial" w:eastAsia="Times New Roman" w:hAnsi="Arial" w:cs="Arial"/>
                  <w:b/>
                  <w:sz w:val="36"/>
                  <w:szCs w:val="36"/>
                  <w:lang w:val="en-US"/>
                </w:rPr>
                <w:id w:val="164822727"/>
                <w14:checkbox>
                  <w14:checked w14:val="0"/>
                  <w14:checkedState w14:val="2612" w14:font="MS Gothic"/>
                  <w14:uncheckedState w14:val="2610" w14:font="MS Gothic"/>
                </w14:checkbox>
              </w:sdtPr>
              <w:sdtEndPr/>
              <w:sdtContent>
                <w:r w:rsidR="00CF7505">
                  <w:rPr>
                    <w:rFonts w:ascii="MS Gothic" w:eastAsia="MS Gothic" w:hAnsi="MS Gothic" w:cs="Arial" w:hint="eastAsia"/>
                    <w:b/>
                    <w:sz w:val="36"/>
                    <w:szCs w:val="36"/>
                    <w:lang w:val="en-US"/>
                  </w:rPr>
                  <w:t>☐</w:t>
                </w:r>
              </w:sdtContent>
            </w:sdt>
          </w:p>
          <w:p w:rsidR="00FC220A" w:rsidRPr="00701D5A" w:rsidRDefault="00FC220A" w:rsidP="007939F1">
            <w:pPr>
              <w:spacing w:after="160" w:line="240" w:lineRule="exact"/>
              <w:rPr>
                <w:rFonts w:ascii="Arial" w:eastAsia="Times New Roman" w:hAnsi="Arial" w:cs="Arial"/>
                <w:sz w:val="36"/>
                <w:szCs w:val="36"/>
                <w:lang w:val="en-US"/>
              </w:rPr>
            </w:pPr>
          </w:p>
        </w:tc>
      </w:tr>
      <w:tr w:rsidR="00524518" w:rsidRPr="0090668B" w:rsidTr="00FC220A">
        <w:trPr>
          <w:cantSplit/>
        </w:trPr>
        <w:tc>
          <w:tcPr>
            <w:tcW w:w="1701" w:type="dxa"/>
            <w:shd w:val="clear" w:color="auto" w:fill="7030A0"/>
          </w:tcPr>
          <w:p w:rsidR="00524518" w:rsidRPr="0090668B" w:rsidRDefault="00524518" w:rsidP="001B4788">
            <w:pPr>
              <w:spacing w:after="0" w:line="240" w:lineRule="auto"/>
              <w:jc w:val="center"/>
              <w:rPr>
                <w:rFonts w:ascii="Arial" w:eastAsia="Times New Roman" w:hAnsi="Arial" w:cs="Arial"/>
                <w:bCs/>
                <w:color w:val="FFFFFF"/>
                <w:lang w:eastAsia="en-GB"/>
              </w:rPr>
            </w:pPr>
          </w:p>
          <w:p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rsidR="00505016" w:rsidRPr="002A696C" w:rsidRDefault="00EE25F1" w:rsidP="00505016">
            <w:pPr>
              <w:rPr>
                <w:rFonts w:ascii="Arial" w:eastAsia="Times New Roman" w:hAnsi="Arial" w:cs="Arial"/>
                <w:sz w:val="24"/>
                <w:szCs w:val="24"/>
                <w:lang w:val="en-US"/>
              </w:rPr>
            </w:pPr>
            <w:r w:rsidRPr="00EE25F1">
              <w:rPr>
                <w:rFonts w:ascii="Arial" w:eastAsia="Times New Roman" w:hAnsi="Arial" w:cs="Arial"/>
                <w:b/>
                <w:bCs/>
                <w:sz w:val="24"/>
                <w:szCs w:val="24"/>
                <w:lang w:val="en-US"/>
              </w:rPr>
              <w:t xml:space="preserve">Harrow profile </w:t>
            </w:r>
            <w:r w:rsidRPr="00EE25F1">
              <w:rPr>
                <w:rFonts w:ascii="Arial" w:eastAsia="Times New Roman" w:hAnsi="Arial" w:cs="Arial"/>
                <w:bCs/>
                <w:sz w:val="24"/>
                <w:szCs w:val="24"/>
                <w:lang w:val="en-US"/>
              </w:rPr>
              <w:t>(Census</w:t>
            </w:r>
            <w:r w:rsidRPr="002A696C">
              <w:rPr>
                <w:rFonts w:ascii="Arial" w:eastAsia="Times New Roman" w:hAnsi="Arial" w:cs="Arial"/>
                <w:sz w:val="24"/>
                <w:szCs w:val="24"/>
                <w:lang w:val="en-US"/>
              </w:rPr>
              <w:t xml:space="preserve">): </w:t>
            </w:r>
            <w:r w:rsidR="00505016" w:rsidRPr="002A696C">
              <w:rPr>
                <w:rFonts w:ascii="Arial" w:eastAsia="Times New Roman" w:hAnsi="Arial" w:cs="Arial"/>
                <w:sz w:val="24"/>
                <w:szCs w:val="24"/>
                <w:lang w:val="en-US"/>
              </w:rPr>
              <w:t xml:space="preserve">61.8% of residents classify themselves as belonging to a minority ethnic group. The White British group forms the remaining 38.2% of the population, (down from 50% in 2001). 26.4% of Harrow’s residents are of Indian origin – the largest minority ethnic group in the borough, followed by Kenyans and Sri Lankans. Harrow is home to the largest Sri Lankan born community in the country. 8.2% of residents are ‘White Other’, up from 4.5% in 2001. </w:t>
            </w:r>
          </w:p>
          <w:p w:rsidR="00505016" w:rsidRPr="00505016" w:rsidRDefault="00505016" w:rsidP="00505016">
            <w:pPr>
              <w:autoSpaceDE w:val="0"/>
              <w:autoSpaceDN w:val="0"/>
              <w:adjustRightInd w:val="0"/>
              <w:spacing w:after="0" w:line="240" w:lineRule="auto"/>
              <w:rPr>
                <w:rFonts w:ascii="Arial" w:eastAsia="Times New Roman" w:hAnsi="Arial" w:cs="Arial"/>
                <w:sz w:val="24"/>
                <w:szCs w:val="24"/>
                <w:lang w:val="en-US"/>
              </w:rPr>
            </w:pPr>
            <w:r w:rsidRPr="00505016">
              <w:rPr>
                <w:rFonts w:ascii="Arial" w:eastAsia="Times New Roman" w:hAnsi="Arial" w:cs="Arial"/>
                <w:sz w:val="24"/>
                <w:szCs w:val="24"/>
                <w:lang w:val="en-US"/>
              </w:rPr>
              <w:t xml:space="preserve">In 2015/16 Harrow recorded its 2nd highest levels of migration in a decade signifying a significant change in population make up since the 2011 census. The top three nationalities of these most recent arrivals are Romanian, Indian and Polish. </w:t>
            </w:r>
          </w:p>
          <w:p w:rsidR="00505016" w:rsidRPr="002A696C" w:rsidRDefault="00505016" w:rsidP="00505016">
            <w:pPr>
              <w:autoSpaceDE w:val="0"/>
              <w:autoSpaceDN w:val="0"/>
              <w:adjustRightInd w:val="0"/>
              <w:spacing w:after="0" w:line="240" w:lineRule="auto"/>
              <w:rPr>
                <w:rFonts w:ascii="Arial" w:eastAsia="Times New Roman" w:hAnsi="Arial" w:cs="Arial"/>
                <w:sz w:val="24"/>
                <w:szCs w:val="24"/>
                <w:lang w:val="en-US"/>
              </w:rPr>
            </w:pPr>
            <w:r w:rsidRPr="002A696C">
              <w:rPr>
                <w:rFonts w:ascii="Arial" w:eastAsia="Times New Roman" w:hAnsi="Arial" w:cs="Arial"/>
                <w:sz w:val="24"/>
                <w:szCs w:val="24"/>
                <w:lang w:val="en-US"/>
              </w:rPr>
              <w:t xml:space="preserve">The top 5 most recorded community languages in Harrow are: English, Gujarati, Tamil, Romanian, </w:t>
            </w:r>
            <w:proofErr w:type="gramStart"/>
            <w:r w:rsidRPr="002A696C">
              <w:rPr>
                <w:rFonts w:ascii="Arial" w:eastAsia="Times New Roman" w:hAnsi="Arial" w:cs="Arial"/>
                <w:sz w:val="24"/>
                <w:szCs w:val="24"/>
                <w:lang w:val="en-US"/>
              </w:rPr>
              <w:t>Arabic</w:t>
            </w:r>
            <w:proofErr w:type="gramEnd"/>
            <w:r w:rsidRPr="002A696C">
              <w:rPr>
                <w:rFonts w:ascii="Arial" w:eastAsia="Times New Roman" w:hAnsi="Arial" w:cs="Arial"/>
                <w:sz w:val="24"/>
                <w:szCs w:val="24"/>
                <w:lang w:val="en-US"/>
              </w:rPr>
              <w:t xml:space="preserve"> and there are over 155 languages spoken in Harrow schools. </w:t>
            </w:r>
          </w:p>
          <w:p w:rsidR="00EE25F1" w:rsidRPr="00EE25F1" w:rsidRDefault="00EE25F1" w:rsidP="00EE25F1">
            <w:pPr>
              <w:autoSpaceDE w:val="0"/>
              <w:autoSpaceDN w:val="0"/>
              <w:adjustRightInd w:val="0"/>
              <w:spacing w:after="0" w:line="240" w:lineRule="auto"/>
              <w:rPr>
                <w:rFonts w:ascii="Arial" w:eastAsia="Times New Roman" w:hAnsi="Arial" w:cs="Arial"/>
                <w:sz w:val="24"/>
                <w:szCs w:val="24"/>
                <w:highlight w:val="yellow"/>
                <w:lang w:val="en-US"/>
              </w:rPr>
            </w:pPr>
          </w:p>
          <w:p w:rsidR="00CF7505" w:rsidRPr="00CF7505" w:rsidRDefault="00CF7505" w:rsidP="00505016">
            <w:pPr>
              <w:spacing w:after="160" w:line="240" w:lineRule="exact"/>
              <w:rPr>
                <w:sz w:val="23"/>
                <w:szCs w:val="23"/>
              </w:rPr>
            </w:pPr>
            <w:r>
              <w:rPr>
                <w:rFonts w:ascii="Arial" w:eastAsia="Times New Roman" w:hAnsi="Arial" w:cs="Arial"/>
                <w:sz w:val="24"/>
                <w:szCs w:val="24"/>
                <w:lang w:val="en-US"/>
              </w:rPr>
              <w:t>Race and Ethnicity</w:t>
            </w:r>
            <w:r w:rsidRPr="00EE25F1">
              <w:rPr>
                <w:rFonts w:ascii="Arial" w:eastAsia="Times New Roman" w:hAnsi="Arial" w:cs="Arial"/>
                <w:sz w:val="24"/>
                <w:szCs w:val="24"/>
                <w:lang w:val="en-US"/>
              </w:rPr>
              <w:t xml:space="preserve"> profile of users of all of the services covered by report has not been collated</w:t>
            </w:r>
            <w:r>
              <w:rPr>
                <w:rFonts w:ascii="Arial" w:eastAsia="Times New Roman" w:hAnsi="Arial" w:cs="Arial"/>
                <w:sz w:val="24"/>
                <w:szCs w:val="24"/>
                <w:lang w:val="en-US"/>
              </w:rPr>
              <w:t>. Increase in rents in line with statutory requirements and other charges considered fair and reasonable; these, together with new build program, will be implemented impartial to this protected characteristic.</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rsidR="00524518" w:rsidRPr="00701D5A" w:rsidRDefault="00B664D7"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rsidR="00524518" w:rsidRPr="00701D5A" w:rsidRDefault="00F613B4"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rsidTr="00FC220A">
        <w:trPr>
          <w:trHeight w:val="240"/>
        </w:trPr>
        <w:tc>
          <w:tcPr>
            <w:tcW w:w="1701" w:type="dxa"/>
            <w:shd w:val="clear" w:color="auto" w:fill="7030A0"/>
          </w:tcPr>
          <w:p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rsidR="00505016" w:rsidRDefault="00EE25F1" w:rsidP="00505016">
            <w:pPr>
              <w:autoSpaceDE w:val="0"/>
              <w:autoSpaceDN w:val="0"/>
              <w:adjustRightInd w:val="0"/>
              <w:spacing w:after="0" w:line="240" w:lineRule="auto"/>
              <w:rPr>
                <w:rFonts w:ascii="Arial" w:eastAsia="Times New Roman" w:hAnsi="Arial" w:cs="Arial"/>
                <w:sz w:val="24"/>
                <w:szCs w:val="24"/>
                <w:lang w:val="en-US"/>
              </w:rPr>
            </w:pPr>
            <w:r w:rsidRPr="00EE25F1">
              <w:rPr>
                <w:rFonts w:ascii="Arial" w:eastAsia="Times New Roman" w:hAnsi="Arial" w:cs="Arial"/>
                <w:b/>
                <w:bCs/>
                <w:sz w:val="24"/>
                <w:szCs w:val="24"/>
                <w:lang w:val="en-US"/>
              </w:rPr>
              <w:t>Harrow profile</w:t>
            </w:r>
            <w:r w:rsidRPr="00EE25F1">
              <w:rPr>
                <w:rFonts w:ascii="Arial" w:eastAsia="Times New Roman" w:hAnsi="Arial" w:cs="Arial"/>
                <w:sz w:val="24"/>
                <w:szCs w:val="24"/>
                <w:lang w:val="en-US"/>
              </w:rPr>
              <w:t xml:space="preserve">: </w:t>
            </w:r>
            <w:r w:rsidR="00505016" w:rsidRPr="002A696C">
              <w:rPr>
                <w:rFonts w:ascii="Arial" w:eastAsia="Times New Roman" w:hAnsi="Arial" w:cs="Arial"/>
                <w:sz w:val="24"/>
                <w:szCs w:val="24"/>
                <w:lang w:val="en-US"/>
              </w:rPr>
              <w:t xml:space="preserve">Harrow is also said to be the most religiously diverse borough in the country. The borough had the highest proportion of Hindus, Jains and members of the Unification Church, the second highest figures for Zoroastrianism and was 6th for Judaism. 37% of the </w:t>
            </w:r>
            <w:proofErr w:type="gramStart"/>
            <w:r w:rsidR="00505016" w:rsidRPr="002A696C">
              <w:rPr>
                <w:rFonts w:ascii="Arial" w:eastAsia="Times New Roman" w:hAnsi="Arial" w:cs="Arial"/>
                <w:sz w:val="24"/>
                <w:szCs w:val="24"/>
                <w:lang w:val="en-US"/>
              </w:rPr>
              <w:t>population are</w:t>
            </w:r>
            <w:proofErr w:type="gramEnd"/>
            <w:r w:rsidR="00505016" w:rsidRPr="002A696C">
              <w:rPr>
                <w:rFonts w:ascii="Arial" w:eastAsia="Times New Roman" w:hAnsi="Arial" w:cs="Arial"/>
                <w:sz w:val="24"/>
                <w:szCs w:val="24"/>
                <w:lang w:val="en-US"/>
              </w:rPr>
              <w:t xml:space="preserve"> Christian, the 5th lowest figure in the country. Muslims accounted for 12.5% of the population8. In Greenhill and Wealdstone there are proportionately more followers of Islam and slighter lower Hindus. There is a higher proportion of Bangladeshi and Pakistanis in these wards. Those ethnic groups have high levels of residents aged 16-64 who are economically inactive (35.4%) compared to Indians (14.7%).</w:t>
            </w:r>
          </w:p>
          <w:p w:rsidR="00CF7505" w:rsidRPr="002A696C" w:rsidRDefault="00CF7505" w:rsidP="00505016">
            <w:pPr>
              <w:autoSpaceDE w:val="0"/>
              <w:autoSpaceDN w:val="0"/>
              <w:adjustRightInd w:val="0"/>
              <w:spacing w:after="0" w:line="240" w:lineRule="auto"/>
              <w:rPr>
                <w:rFonts w:ascii="Arial" w:eastAsia="Times New Roman" w:hAnsi="Arial" w:cs="Arial"/>
                <w:sz w:val="24"/>
                <w:szCs w:val="24"/>
                <w:lang w:val="en-US"/>
              </w:rPr>
            </w:pPr>
          </w:p>
          <w:p w:rsidR="00524518" w:rsidRPr="00CF7505" w:rsidRDefault="00CF7505" w:rsidP="00CF7505">
            <w:pPr>
              <w:spacing w:after="160" w:line="240" w:lineRule="exact"/>
              <w:rPr>
                <w:sz w:val="23"/>
                <w:szCs w:val="23"/>
              </w:rPr>
            </w:pPr>
            <w:r>
              <w:rPr>
                <w:rFonts w:ascii="Arial" w:eastAsia="Times New Roman" w:hAnsi="Arial" w:cs="Arial"/>
                <w:sz w:val="24"/>
                <w:szCs w:val="24"/>
                <w:lang w:val="en-US"/>
              </w:rPr>
              <w:lastRenderedPageBreak/>
              <w:t>Religion and Belief</w:t>
            </w:r>
            <w:r w:rsidRPr="00EE25F1">
              <w:rPr>
                <w:rFonts w:ascii="Arial" w:eastAsia="Times New Roman" w:hAnsi="Arial" w:cs="Arial"/>
                <w:sz w:val="24"/>
                <w:szCs w:val="24"/>
                <w:lang w:val="en-US"/>
              </w:rPr>
              <w:t xml:space="preserve"> profile of users of all of the services covered by report has not been collated</w:t>
            </w:r>
            <w:r>
              <w:rPr>
                <w:rFonts w:ascii="Arial" w:eastAsia="Times New Roman" w:hAnsi="Arial" w:cs="Arial"/>
                <w:sz w:val="24"/>
                <w:szCs w:val="24"/>
                <w:lang w:val="en-US"/>
              </w:rPr>
              <w:t>. Increase in rents in line with statutory requirements and other charges considered fair and reasonable; these, together with new build program, will be implemented impartial to this protected characteristic.</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rsidR="00524518" w:rsidRPr="00701D5A" w:rsidRDefault="00F613B4"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rsidTr="00FC220A">
        <w:trPr>
          <w:trHeight w:val="240"/>
        </w:trPr>
        <w:tc>
          <w:tcPr>
            <w:tcW w:w="1701" w:type="dxa"/>
            <w:shd w:val="clear" w:color="auto" w:fill="7030A0"/>
          </w:tcPr>
          <w:p w:rsidR="00524518" w:rsidRPr="0090668B" w:rsidRDefault="00524518" w:rsidP="001B4788">
            <w:pPr>
              <w:spacing w:after="0" w:line="240" w:lineRule="auto"/>
              <w:jc w:val="center"/>
              <w:rPr>
                <w:rFonts w:ascii="Arial" w:eastAsia="Times New Roman" w:hAnsi="Arial" w:cs="Arial"/>
                <w:bCs/>
                <w:color w:val="FFFFFF"/>
                <w:lang w:eastAsia="en-GB"/>
              </w:rPr>
            </w:pPr>
          </w:p>
          <w:p w:rsidR="00524518" w:rsidRPr="0090668B" w:rsidRDefault="00524518"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Gender</w:t>
            </w:r>
          </w:p>
        </w:tc>
        <w:tc>
          <w:tcPr>
            <w:tcW w:w="8789" w:type="dxa"/>
          </w:tcPr>
          <w:p w:rsidR="00EE25F1" w:rsidRDefault="00EE25F1" w:rsidP="00EE25F1">
            <w:pPr>
              <w:autoSpaceDE w:val="0"/>
              <w:autoSpaceDN w:val="0"/>
              <w:adjustRightInd w:val="0"/>
              <w:spacing w:after="0" w:line="240" w:lineRule="auto"/>
              <w:rPr>
                <w:rFonts w:ascii="Arial" w:eastAsia="Times New Roman" w:hAnsi="Arial" w:cs="Arial"/>
                <w:sz w:val="24"/>
                <w:szCs w:val="24"/>
                <w:lang w:val="en-US"/>
              </w:rPr>
            </w:pPr>
            <w:r w:rsidRPr="00EE25F1">
              <w:rPr>
                <w:rFonts w:ascii="Arial" w:eastAsia="Times New Roman" w:hAnsi="Arial" w:cs="Arial"/>
                <w:b/>
                <w:bCs/>
                <w:sz w:val="24"/>
                <w:szCs w:val="24"/>
                <w:lang w:val="en-US"/>
              </w:rPr>
              <w:t>Harrow profile:</w:t>
            </w:r>
            <w:r w:rsidRPr="00EE25F1">
              <w:rPr>
                <w:rFonts w:ascii="Arial" w:eastAsia="Times New Roman" w:hAnsi="Arial" w:cs="Arial"/>
                <w:sz w:val="24"/>
                <w:szCs w:val="24"/>
                <w:lang w:val="en-US"/>
              </w:rPr>
              <w:t xml:space="preserve"> </w:t>
            </w:r>
            <w:r w:rsidR="00505016" w:rsidRPr="002A696C">
              <w:rPr>
                <w:rFonts w:ascii="Arial" w:eastAsia="Times New Roman" w:hAnsi="Arial" w:cs="Arial"/>
                <w:sz w:val="24"/>
                <w:szCs w:val="24"/>
                <w:lang w:val="en-US"/>
              </w:rPr>
              <w:t>49.9% of the population are male and 51.1% are female</w:t>
            </w:r>
          </w:p>
          <w:p w:rsidR="00505016" w:rsidRPr="00EE25F1" w:rsidRDefault="00505016" w:rsidP="00EE25F1">
            <w:pPr>
              <w:autoSpaceDE w:val="0"/>
              <w:autoSpaceDN w:val="0"/>
              <w:adjustRightInd w:val="0"/>
              <w:spacing w:after="0" w:line="240" w:lineRule="auto"/>
              <w:rPr>
                <w:rFonts w:ascii="Arial" w:eastAsia="Times New Roman" w:hAnsi="Arial" w:cs="Arial"/>
                <w:sz w:val="24"/>
                <w:szCs w:val="24"/>
                <w:highlight w:val="yellow"/>
                <w:lang w:val="en-US"/>
              </w:rPr>
            </w:pPr>
          </w:p>
          <w:p w:rsidR="00524518" w:rsidRPr="00CF7505" w:rsidRDefault="00CF7505" w:rsidP="00CF7505">
            <w:pPr>
              <w:spacing w:after="160" w:line="240" w:lineRule="exact"/>
              <w:rPr>
                <w:sz w:val="23"/>
                <w:szCs w:val="23"/>
              </w:rPr>
            </w:pPr>
            <w:r>
              <w:rPr>
                <w:rFonts w:ascii="Arial" w:eastAsia="Times New Roman" w:hAnsi="Arial" w:cs="Arial"/>
                <w:sz w:val="24"/>
                <w:szCs w:val="24"/>
                <w:lang w:val="en-US"/>
              </w:rPr>
              <w:t>Gender</w:t>
            </w:r>
            <w:r w:rsidRPr="00EE25F1">
              <w:rPr>
                <w:rFonts w:ascii="Arial" w:eastAsia="Times New Roman" w:hAnsi="Arial" w:cs="Arial"/>
                <w:sz w:val="24"/>
                <w:szCs w:val="24"/>
                <w:lang w:val="en-US"/>
              </w:rPr>
              <w:t xml:space="preserve"> profile of users of all of the services covered by report has not been collated</w:t>
            </w:r>
            <w:r>
              <w:rPr>
                <w:rFonts w:ascii="Arial" w:eastAsia="Times New Roman" w:hAnsi="Arial" w:cs="Arial"/>
                <w:sz w:val="24"/>
                <w:szCs w:val="24"/>
                <w:lang w:val="en-US"/>
              </w:rPr>
              <w:t>. Increase in rents in line with statutory requirements and other charges considered fair and reasonable; these, together with new build program, will be implemented impartial to this protected characteristic.</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rsidR="00524518" w:rsidRPr="00701D5A" w:rsidRDefault="00F613B4"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rsidTr="00FC220A">
        <w:trPr>
          <w:trHeight w:val="240"/>
        </w:trPr>
        <w:tc>
          <w:tcPr>
            <w:tcW w:w="1701" w:type="dxa"/>
            <w:shd w:val="clear" w:color="auto" w:fill="7030A0"/>
          </w:tcPr>
          <w:p w:rsidR="00524518" w:rsidRPr="0090668B" w:rsidRDefault="00524518" w:rsidP="001B4788">
            <w:pPr>
              <w:spacing w:after="0" w:line="240" w:lineRule="auto"/>
              <w:jc w:val="center"/>
              <w:rPr>
                <w:rFonts w:ascii="Arial" w:eastAsia="Times New Roman" w:hAnsi="Arial" w:cs="Arial"/>
                <w:bCs/>
                <w:color w:val="FFFFFF"/>
                <w:lang w:eastAsia="en-GB"/>
              </w:rPr>
            </w:pPr>
          </w:p>
          <w:p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rsidR="00EE25F1" w:rsidRPr="00EE25F1" w:rsidRDefault="00EE25F1" w:rsidP="00EE25F1">
            <w:pPr>
              <w:autoSpaceDE w:val="0"/>
              <w:autoSpaceDN w:val="0"/>
              <w:adjustRightInd w:val="0"/>
              <w:spacing w:after="0" w:line="240" w:lineRule="auto"/>
              <w:rPr>
                <w:rFonts w:ascii="Arial" w:eastAsia="Times New Roman" w:hAnsi="Arial" w:cs="Arial"/>
                <w:sz w:val="24"/>
                <w:szCs w:val="24"/>
                <w:lang w:val="en-US"/>
              </w:rPr>
            </w:pPr>
            <w:r w:rsidRPr="00EE25F1">
              <w:rPr>
                <w:rFonts w:ascii="Arial" w:eastAsia="Times New Roman" w:hAnsi="Arial" w:cs="Arial"/>
                <w:b/>
                <w:sz w:val="24"/>
                <w:szCs w:val="24"/>
                <w:lang w:val="en-US"/>
              </w:rPr>
              <w:t>Harrow profile</w:t>
            </w:r>
            <w:r w:rsidRPr="002A696C">
              <w:rPr>
                <w:rFonts w:ascii="Arial" w:eastAsia="Times New Roman" w:hAnsi="Arial" w:cs="Arial"/>
                <w:sz w:val="24"/>
                <w:szCs w:val="24"/>
                <w:lang w:val="en-US"/>
              </w:rPr>
              <w:t>:</w:t>
            </w:r>
            <w:r w:rsidR="00150A2B">
              <w:rPr>
                <w:rFonts w:ascii="Arial" w:eastAsia="Times New Roman" w:hAnsi="Arial" w:cs="Arial"/>
                <w:sz w:val="24"/>
                <w:szCs w:val="24"/>
                <w:lang w:val="en-US"/>
              </w:rPr>
              <w:t xml:space="preserve"> </w:t>
            </w:r>
            <w:r w:rsidRPr="00EE25F1">
              <w:rPr>
                <w:rFonts w:ascii="Arial" w:eastAsia="Times New Roman" w:hAnsi="Arial" w:cs="Arial"/>
                <w:sz w:val="24"/>
                <w:szCs w:val="24"/>
                <w:lang w:val="en-US"/>
              </w:rPr>
              <w:t xml:space="preserve"> </w:t>
            </w:r>
            <w:r w:rsidR="00150A2B" w:rsidRPr="002A696C">
              <w:rPr>
                <w:rFonts w:ascii="Arial" w:eastAsia="Times New Roman" w:hAnsi="Arial" w:cs="Arial"/>
                <w:sz w:val="24"/>
                <w:szCs w:val="24"/>
                <w:lang w:val="en-US"/>
              </w:rPr>
              <w:t>It is estimated that 10% of the UK population are lesbian, gay and bisexual (LGB), which would equate to approximately 24,713 of our residents.</w:t>
            </w:r>
            <w:r w:rsidR="00150A2B">
              <w:rPr>
                <w:sz w:val="23"/>
                <w:szCs w:val="23"/>
              </w:rPr>
              <w:t xml:space="preserve"> </w:t>
            </w:r>
          </w:p>
          <w:p w:rsidR="00EE25F1" w:rsidRPr="00EE25F1" w:rsidRDefault="00EE25F1" w:rsidP="00EE25F1">
            <w:pPr>
              <w:autoSpaceDE w:val="0"/>
              <w:autoSpaceDN w:val="0"/>
              <w:adjustRightInd w:val="0"/>
              <w:spacing w:after="0" w:line="240" w:lineRule="auto"/>
              <w:rPr>
                <w:rFonts w:ascii="Arial" w:eastAsia="Times New Roman" w:hAnsi="Arial" w:cs="Arial"/>
                <w:sz w:val="24"/>
                <w:szCs w:val="24"/>
                <w:lang w:val="en-US"/>
              </w:rPr>
            </w:pPr>
          </w:p>
          <w:p w:rsidR="00524518" w:rsidRPr="00CF7505" w:rsidRDefault="00CF7505" w:rsidP="00CF7505">
            <w:pPr>
              <w:spacing w:after="160" w:line="240" w:lineRule="exact"/>
              <w:rPr>
                <w:sz w:val="23"/>
                <w:szCs w:val="23"/>
              </w:rPr>
            </w:pPr>
            <w:r>
              <w:rPr>
                <w:rFonts w:ascii="Arial" w:eastAsia="Times New Roman" w:hAnsi="Arial" w:cs="Arial"/>
                <w:sz w:val="24"/>
                <w:szCs w:val="24"/>
                <w:lang w:val="en-US"/>
              </w:rPr>
              <w:t>S</w:t>
            </w:r>
            <w:r w:rsidR="00EE25F1" w:rsidRPr="00EE25F1">
              <w:rPr>
                <w:rFonts w:ascii="Arial" w:eastAsia="Times New Roman" w:hAnsi="Arial" w:cs="Arial"/>
                <w:sz w:val="24"/>
                <w:szCs w:val="24"/>
                <w:lang w:val="en-US"/>
              </w:rPr>
              <w:t xml:space="preserve">exual orientation profile </w:t>
            </w:r>
            <w:r w:rsidRPr="00EE25F1">
              <w:rPr>
                <w:rFonts w:ascii="Arial" w:eastAsia="Times New Roman" w:hAnsi="Arial" w:cs="Arial"/>
                <w:sz w:val="24"/>
                <w:szCs w:val="24"/>
                <w:lang w:val="en-US"/>
              </w:rPr>
              <w:t>of users of all of the services covered by report has not been collated</w:t>
            </w:r>
            <w:r>
              <w:rPr>
                <w:rFonts w:ascii="Arial" w:eastAsia="Times New Roman" w:hAnsi="Arial" w:cs="Arial"/>
                <w:sz w:val="24"/>
                <w:szCs w:val="24"/>
                <w:lang w:val="en-US"/>
              </w:rPr>
              <w:t>. Increase in rents in line with statutory requirements and other charges considered fair and reasonable; these, together with new build program, will be implemented impartial to this protected characteristic.</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rsidR="00524518" w:rsidRPr="00701D5A" w:rsidRDefault="00F613B4"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rsidTr="00FC220A">
        <w:trPr>
          <w:trHeight w:val="1671"/>
        </w:trPr>
        <w:tc>
          <w:tcPr>
            <w:tcW w:w="14601" w:type="dxa"/>
            <w:gridSpan w:val="6"/>
            <w:shd w:val="clear" w:color="auto" w:fill="7030A0"/>
          </w:tcPr>
          <w:p w:rsidR="00B60247" w:rsidRDefault="00B60247" w:rsidP="00B60247">
            <w:pPr>
              <w:spacing w:after="0" w:line="240" w:lineRule="auto"/>
              <w:rPr>
                <w:rFonts w:ascii="Arial" w:eastAsia="Times New Roman" w:hAnsi="Arial" w:cs="Arial"/>
                <w:b/>
                <w:color w:val="FFFFFF"/>
                <w:sz w:val="24"/>
                <w:szCs w:val="24"/>
                <w:lang w:val="en-US"/>
              </w:rPr>
            </w:pPr>
          </w:p>
          <w:p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rsidR="00B60247" w:rsidRDefault="00533009"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r w:rsidR="00B60247" w:rsidRPr="007559B5">
              <w:rPr>
                <w:rFonts w:ascii="Arial" w:eastAsia="Times New Roman" w:hAnsi="Arial" w:cs="Arial"/>
                <w:b/>
                <w:color w:val="FFFFFF" w:themeColor="background1"/>
                <w:sz w:val="24"/>
                <w:szCs w:val="24"/>
                <w:lang w:eastAsia="en-GB"/>
              </w:rPr>
              <w:t xml:space="preserve">Yes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505016">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rsidTr="00FC220A">
        <w:trPr>
          <w:trHeight w:val="132"/>
        </w:trPr>
        <w:tc>
          <w:tcPr>
            <w:tcW w:w="14601" w:type="dxa"/>
            <w:gridSpan w:val="6"/>
            <w:shd w:val="clear" w:color="auto" w:fill="FFFFFF" w:themeFill="background1"/>
          </w:tcPr>
          <w:p w:rsidR="00D02B28" w:rsidRPr="00CF7505"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tc>
      </w:tr>
      <w:tr w:rsidR="00DF7A3B" w:rsidRPr="0090668B" w:rsidTr="00FC220A">
        <w:trPr>
          <w:trHeight w:val="240"/>
        </w:trPr>
        <w:tc>
          <w:tcPr>
            <w:tcW w:w="14601" w:type="dxa"/>
            <w:gridSpan w:val="6"/>
            <w:shd w:val="clear" w:color="auto" w:fill="7030A0"/>
          </w:tcPr>
          <w:p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w:t>
            </w:r>
            <w:proofErr w:type="gramStart"/>
            <w:r w:rsidR="003707A6">
              <w:rPr>
                <w:rFonts w:ascii="Arial" w:eastAsia="Times New Roman" w:hAnsi="Arial" w:cs="Arial"/>
                <w:b/>
                <w:color w:val="FFFFFF"/>
                <w:sz w:val="24"/>
                <w:szCs w:val="24"/>
                <w:lang w:val="en-US"/>
              </w:rPr>
              <w:t xml:space="preserve">impact </w:t>
            </w:r>
            <w:r w:rsidR="00801B8B">
              <w:rPr>
                <w:rFonts w:ascii="Arial" w:eastAsia="Times New Roman" w:hAnsi="Arial" w:cs="Arial"/>
                <w:b/>
                <w:color w:val="FFFFFF"/>
                <w:sz w:val="24"/>
                <w:szCs w:val="24"/>
                <w:lang w:val="en-US"/>
              </w:rPr>
              <w:t xml:space="preserve"> -</w:t>
            </w:r>
            <w:proofErr w:type="gramEnd"/>
            <w:r w:rsid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r w:rsidR="00215514">
              <w:rPr>
                <w:rFonts w:ascii="Arial" w:eastAsia="Times New Roman" w:hAnsi="Arial" w:cs="Arial"/>
                <w:b/>
                <w:color w:val="FFFFFF"/>
                <w:sz w:val="24"/>
                <w:szCs w:val="24"/>
                <w:lang w:val="en-US"/>
              </w:rPr>
              <w:t>etc</w:t>
            </w:r>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CF7505">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rsidTr="00CF7505">
        <w:trPr>
          <w:trHeight w:val="380"/>
        </w:trPr>
        <w:tc>
          <w:tcPr>
            <w:tcW w:w="14601" w:type="dxa"/>
            <w:gridSpan w:val="6"/>
            <w:shd w:val="clear" w:color="auto" w:fill="auto"/>
          </w:tcPr>
          <w:p w:rsidR="00DF7A3B" w:rsidRPr="00CF7505" w:rsidRDefault="00E50777" w:rsidP="00CF7505">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p>
        </w:tc>
      </w:tr>
    </w:tbl>
    <w:p w:rsidR="00B664D7" w:rsidRDefault="00B664D7" w:rsidP="006C677D">
      <w:pPr>
        <w:spacing w:after="0" w:line="240" w:lineRule="auto"/>
        <w:rPr>
          <w:rFonts w:ascii="Times New Roman" w:eastAsia="Times New Roman" w:hAnsi="Times New Roman"/>
          <w:sz w:val="20"/>
          <w:szCs w:val="20"/>
          <w:lang w:eastAsia="en-GB"/>
        </w:rPr>
      </w:pPr>
    </w:p>
    <w:p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rsidTr="00DB40C1">
        <w:trPr>
          <w:trHeight w:val="446"/>
        </w:trPr>
        <w:tc>
          <w:tcPr>
            <w:tcW w:w="14601" w:type="dxa"/>
            <w:gridSpan w:val="5"/>
            <w:shd w:val="clear" w:color="auto" w:fill="7030A0"/>
            <w:vAlign w:val="center"/>
          </w:tcPr>
          <w:p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rsidTr="00DB40C1">
        <w:trPr>
          <w:trHeight w:val="977"/>
        </w:trPr>
        <w:tc>
          <w:tcPr>
            <w:tcW w:w="14601" w:type="dxa"/>
            <w:gridSpan w:val="5"/>
            <w:tcBorders>
              <w:bottom w:val="single" w:sz="4" w:space="0" w:color="auto"/>
            </w:tcBorders>
            <w:shd w:val="clear" w:color="auto" w:fill="auto"/>
            <w:vAlign w:val="center"/>
          </w:tcPr>
          <w:p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rsidR="006C677D" w:rsidRPr="0090668B" w:rsidRDefault="006C677D" w:rsidP="001B4788">
            <w:pPr>
              <w:autoSpaceDN w:val="0"/>
              <w:spacing w:after="0" w:line="240" w:lineRule="auto"/>
              <w:rPr>
                <w:rFonts w:ascii="Arial" w:eastAsia="Times New Roman" w:hAnsi="Arial" w:cs="Arial"/>
                <w:sz w:val="20"/>
                <w:szCs w:val="20"/>
                <w:lang w:eastAsia="en-GB"/>
              </w:rPr>
            </w:pPr>
          </w:p>
          <w:p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rsidTr="00DB40C1">
        <w:trPr>
          <w:trHeight w:val="1297"/>
        </w:trPr>
        <w:tc>
          <w:tcPr>
            <w:tcW w:w="0" w:type="auto"/>
            <w:shd w:val="clear" w:color="auto" w:fill="7030A0"/>
          </w:tcPr>
          <w:p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consider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rsidTr="00DB40C1">
        <w:trPr>
          <w:trHeight w:val="626"/>
        </w:trPr>
        <w:tc>
          <w:tcPr>
            <w:tcW w:w="0" w:type="auto"/>
            <w:shd w:val="clear" w:color="auto" w:fill="auto"/>
            <w:vAlign w:val="center"/>
          </w:tcPr>
          <w:p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6C677D" w:rsidRPr="0090668B" w:rsidRDefault="006C677D" w:rsidP="001B4788">
            <w:pPr>
              <w:spacing w:after="0" w:line="320" w:lineRule="atLeast"/>
              <w:jc w:val="center"/>
              <w:rPr>
                <w:rFonts w:ascii="Arial" w:eastAsia="Times New Roman" w:hAnsi="Arial" w:cs="Arial"/>
                <w:sz w:val="28"/>
                <w:szCs w:val="28"/>
                <w:lang w:eastAsia="en-GB"/>
              </w:rPr>
            </w:pPr>
          </w:p>
        </w:tc>
      </w:tr>
    </w:tbl>
    <w:p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rsidTr="000A2F27">
        <w:tc>
          <w:tcPr>
            <w:tcW w:w="14601" w:type="dxa"/>
            <w:shd w:val="clear" w:color="auto" w:fill="7030A0"/>
            <w:vAlign w:val="center"/>
          </w:tcPr>
          <w:p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rsidTr="000A2F27">
        <w:tc>
          <w:tcPr>
            <w:tcW w:w="14601" w:type="dxa"/>
            <w:shd w:val="clear" w:color="auto" w:fill="FFFFFF" w:themeFill="background1"/>
            <w:vAlign w:val="center"/>
          </w:tcPr>
          <w:p w:rsidR="007A4631" w:rsidRPr="00CF7505" w:rsidRDefault="00CF7505" w:rsidP="001B4788">
            <w:pPr>
              <w:spacing w:after="0" w:line="320" w:lineRule="atLeast"/>
              <w:rPr>
                <w:rFonts w:ascii="Arial" w:eastAsia="Times New Roman" w:hAnsi="Arial" w:cs="Arial"/>
                <w:sz w:val="24"/>
                <w:szCs w:val="24"/>
                <w:lang w:eastAsia="en-GB"/>
              </w:rPr>
            </w:pPr>
            <w:r w:rsidRPr="00CF7505">
              <w:rPr>
                <w:rFonts w:ascii="Arial" w:eastAsia="Times New Roman" w:hAnsi="Arial" w:cs="Arial"/>
                <w:sz w:val="24"/>
                <w:szCs w:val="24"/>
                <w:lang w:eastAsia="en-GB"/>
              </w:rPr>
              <w:t>Proposals are made impartial to protected characteristics.</w:t>
            </w:r>
          </w:p>
          <w:p w:rsidR="00077F24" w:rsidRPr="00445599" w:rsidRDefault="00CF7505" w:rsidP="001B4788">
            <w:pPr>
              <w:spacing w:after="0" w:line="320" w:lineRule="atLeast"/>
              <w:rPr>
                <w:rFonts w:ascii="Arial" w:eastAsia="Times New Roman" w:hAnsi="Arial" w:cs="Arial"/>
                <w:color w:val="FFFFFF"/>
                <w:sz w:val="24"/>
                <w:szCs w:val="24"/>
                <w:lang w:eastAsia="en-GB"/>
              </w:rPr>
            </w:pPr>
            <w:r w:rsidRPr="00CF7505">
              <w:rPr>
                <w:rFonts w:ascii="Arial" w:eastAsia="Times New Roman" w:hAnsi="Arial" w:cs="Arial"/>
                <w:sz w:val="24"/>
                <w:szCs w:val="24"/>
                <w:lang w:eastAsia="en-GB"/>
              </w:rPr>
              <w:t xml:space="preserve">Tenants experiencing financial difficulties are offered help, advice and support from suitably qualified staff in accordance with agreed service standards. </w:t>
            </w:r>
            <w:r w:rsidR="00445599">
              <w:rPr>
                <w:rFonts w:ascii="Arial" w:eastAsia="Times New Roman" w:hAnsi="Arial" w:cs="Arial"/>
                <w:sz w:val="24"/>
                <w:szCs w:val="24"/>
                <w:lang w:eastAsia="en-GB"/>
              </w:rPr>
              <w:t>Tenants are regularly invited to consultative forums to ensure they are kept up to date with proposed developments and have opportunity to discuss issues directly with Council officers.</w:t>
            </w:r>
          </w:p>
        </w:tc>
      </w:tr>
    </w:tbl>
    <w:p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rsidTr="00A7557C">
        <w:tc>
          <w:tcPr>
            <w:tcW w:w="14601" w:type="dxa"/>
            <w:shd w:val="clear" w:color="auto" w:fill="7030A0"/>
            <w:vAlign w:val="center"/>
          </w:tcPr>
          <w:p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rsidTr="00445599">
        <w:trPr>
          <w:trHeight w:val="831"/>
        </w:trPr>
        <w:tc>
          <w:tcPr>
            <w:tcW w:w="14601" w:type="dxa"/>
            <w:shd w:val="clear" w:color="auto" w:fill="auto"/>
            <w:vAlign w:val="center"/>
          </w:tcPr>
          <w:p w:rsidR="006C677D" w:rsidRPr="005763E5" w:rsidRDefault="00533009"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7A4631">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rsidR="006C677D" w:rsidRPr="0090668B"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tc>
      </w:tr>
      <w:tr w:rsidR="006C677D" w:rsidRPr="0090668B" w:rsidTr="00A7557C">
        <w:trPr>
          <w:trHeight w:val="1125"/>
        </w:trPr>
        <w:tc>
          <w:tcPr>
            <w:tcW w:w="14601" w:type="dxa"/>
            <w:shd w:val="clear" w:color="auto" w:fill="auto"/>
            <w:vAlign w:val="center"/>
          </w:tcPr>
          <w:p w:rsidR="005763E5" w:rsidRPr="005763E5" w:rsidRDefault="00533009"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rsidR="00A7557C"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tc>
      </w:tr>
      <w:tr w:rsidR="006C677D" w:rsidRPr="0090668B" w:rsidTr="00A7557C">
        <w:trPr>
          <w:trHeight w:val="340"/>
        </w:trPr>
        <w:tc>
          <w:tcPr>
            <w:tcW w:w="14601" w:type="dxa"/>
            <w:shd w:val="clear" w:color="auto" w:fill="auto"/>
          </w:tcPr>
          <w:p w:rsidR="006C677D" w:rsidRPr="00B664D7" w:rsidRDefault="00533009"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rsidR="006C677D" w:rsidRPr="00445599"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tc>
      </w:tr>
      <w:tr w:rsidR="006C677D" w:rsidRPr="0090668B" w:rsidTr="00A7557C">
        <w:trPr>
          <w:trHeight w:val="340"/>
        </w:trPr>
        <w:tc>
          <w:tcPr>
            <w:tcW w:w="14601" w:type="dxa"/>
            <w:shd w:val="clear" w:color="auto" w:fill="auto"/>
            <w:vAlign w:val="center"/>
          </w:tcPr>
          <w:p w:rsidR="00077F24" w:rsidRPr="00445599"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tc>
      </w:tr>
    </w:tbl>
    <w:p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02" w:rsidRDefault="003C7402">
      <w:pPr>
        <w:spacing w:after="0" w:line="240" w:lineRule="auto"/>
      </w:pPr>
      <w:r>
        <w:separator/>
      </w:r>
    </w:p>
  </w:endnote>
  <w:endnote w:type="continuationSeparator" w:id="0">
    <w:p w:rsidR="003C7402" w:rsidRDefault="003C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TE2D0F00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4148" w:rsidRDefault="008841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009">
      <w:rPr>
        <w:rStyle w:val="PageNumber"/>
        <w:noProof/>
      </w:rPr>
      <w:t>2</w:t>
    </w:r>
    <w:r>
      <w:rPr>
        <w:rStyle w:val="PageNumber"/>
      </w:rPr>
      <w:fldChar w:fldCharType="end"/>
    </w:r>
  </w:p>
  <w:p w:rsidR="00884148" w:rsidRDefault="00884148" w:rsidP="001B4788">
    <w:pPr>
      <w:pStyle w:val="Footer"/>
      <w:ind w:right="360"/>
      <w:rPr>
        <w:rFonts w:ascii="Arial" w:hAnsi="Arial" w:cs="Arial"/>
        <w:sz w:val="20"/>
      </w:rPr>
    </w:pPr>
  </w:p>
  <w:p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001D7705">
      <w:rPr>
        <w:rFonts w:ascii="Arial" w:hAnsi="Arial" w:cs="Arial"/>
        <w:sz w:val="20"/>
      </w:rPr>
      <w:t xml:space="preserve"> </w:t>
    </w:r>
    <w:proofErr w:type="gramStart"/>
    <w:r w:rsidR="001D7705">
      <w:rPr>
        <w:rFonts w:ascii="Arial" w:hAnsi="Arial" w:cs="Arial"/>
        <w:sz w:val="20"/>
      </w:rPr>
      <w:t xml:space="preserve">- </w:t>
    </w:r>
    <w:r w:rsidRPr="008A274E">
      <w:rPr>
        <w:rFonts w:ascii="Arial" w:hAnsi="Arial" w:cs="Arial"/>
        <w:sz w:val="20"/>
      </w:rPr>
      <w:t xml:space="preserve"> </w:t>
    </w:r>
    <w:r w:rsidR="00746AFF">
      <w:rPr>
        <w:rFonts w:ascii="Arial" w:hAnsi="Arial" w:cs="Arial"/>
        <w:sz w:val="20"/>
      </w:rPr>
      <w:t>November</w:t>
    </w:r>
    <w:proofErr w:type="gramEnd"/>
    <w:r w:rsidR="00746AFF">
      <w:rPr>
        <w:rFonts w:ascii="Arial" w:hAnsi="Arial" w:cs="Arial"/>
        <w:sz w:val="20"/>
      </w:rPr>
      <w:t xml:space="preserve"> </w:t>
    </w:r>
    <w:r w:rsidR="003A692E">
      <w:rPr>
        <w:rFonts w:ascii="Arial" w:hAnsi="Arial" w:cs="Arial"/>
        <w:sz w:val="20"/>
      </w:rPr>
      <w:t xml:space="preserve"> </w:t>
    </w:r>
    <w:r w:rsidR="00F41E45">
      <w:rPr>
        <w:rFonts w:ascii="Arial" w:hAnsi="Arial" w:cs="Arial"/>
        <w:sz w:val="20"/>
      </w:rPr>
      <w:t>2018</w:t>
    </w:r>
  </w:p>
  <w:p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02" w:rsidRDefault="003C7402">
      <w:pPr>
        <w:spacing w:after="0" w:line="240" w:lineRule="auto"/>
      </w:pPr>
      <w:r>
        <w:separator/>
      </w:r>
    </w:p>
  </w:footnote>
  <w:footnote w:type="continuationSeparator" w:id="0">
    <w:p w:rsidR="003C7402" w:rsidRDefault="003C7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0001"/>
    <w:multiLevelType w:val="hybridMultilevel"/>
    <w:tmpl w:val="CC6A9A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B519F3"/>
    <w:multiLevelType w:val="multilevel"/>
    <w:tmpl w:val="730AC3C0"/>
    <w:lvl w:ilvl="0">
      <w:start w:val="1"/>
      <w:numFmt w:val="decimal"/>
      <w:lvlText w:val="%1)"/>
      <w:lvlJc w:val="left"/>
      <w:pPr>
        <w:tabs>
          <w:tab w:val="num" w:pos="360"/>
        </w:tabs>
        <w:ind w:left="360" w:hanging="360"/>
      </w:pPr>
      <w:rPr>
        <w:rFonts w:hint="default"/>
        <w:b w:val="0"/>
        <w:i w:val="0"/>
        <w:sz w:val="24"/>
        <w:szCs w:val="24"/>
      </w:rPr>
    </w:lvl>
    <w:lvl w:ilvl="1">
      <w:start w:val="1"/>
      <w:numFmt w:val="bullet"/>
      <w:lvlText w:val=""/>
      <w:lvlJc w:val="left"/>
      <w:pPr>
        <w:tabs>
          <w:tab w:val="num" w:pos="637"/>
        </w:tabs>
        <w:ind w:left="637" w:hanging="360"/>
      </w:pPr>
      <w:rPr>
        <w:rFonts w:ascii="Symbol" w:hAnsi="Symbol"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2">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7D"/>
    <w:rsid w:val="00000AD6"/>
    <w:rsid w:val="00020127"/>
    <w:rsid w:val="0003325B"/>
    <w:rsid w:val="000413F2"/>
    <w:rsid w:val="00043F2E"/>
    <w:rsid w:val="00050ECA"/>
    <w:rsid w:val="00054909"/>
    <w:rsid w:val="00062884"/>
    <w:rsid w:val="0006761E"/>
    <w:rsid w:val="00077F24"/>
    <w:rsid w:val="000809B1"/>
    <w:rsid w:val="00081A38"/>
    <w:rsid w:val="00090900"/>
    <w:rsid w:val="00097637"/>
    <w:rsid w:val="000A1C96"/>
    <w:rsid w:val="000A2F27"/>
    <w:rsid w:val="000C3597"/>
    <w:rsid w:val="000D1423"/>
    <w:rsid w:val="000F282D"/>
    <w:rsid w:val="00111C32"/>
    <w:rsid w:val="001208C3"/>
    <w:rsid w:val="001212FD"/>
    <w:rsid w:val="00126B4C"/>
    <w:rsid w:val="0014721F"/>
    <w:rsid w:val="00150A2B"/>
    <w:rsid w:val="00182C8C"/>
    <w:rsid w:val="00184B44"/>
    <w:rsid w:val="001A57AF"/>
    <w:rsid w:val="001B4788"/>
    <w:rsid w:val="001B4D3E"/>
    <w:rsid w:val="001C595F"/>
    <w:rsid w:val="001D6159"/>
    <w:rsid w:val="001D7705"/>
    <w:rsid w:val="001E2225"/>
    <w:rsid w:val="001F0C39"/>
    <w:rsid w:val="00215514"/>
    <w:rsid w:val="00215D81"/>
    <w:rsid w:val="00227D78"/>
    <w:rsid w:val="00252964"/>
    <w:rsid w:val="002570A0"/>
    <w:rsid w:val="0026078C"/>
    <w:rsid w:val="00274706"/>
    <w:rsid w:val="00280A3F"/>
    <w:rsid w:val="0028260D"/>
    <w:rsid w:val="002853EF"/>
    <w:rsid w:val="002871AE"/>
    <w:rsid w:val="002A1A30"/>
    <w:rsid w:val="002A696C"/>
    <w:rsid w:val="002C06D1"/>
    <w:rsid w:val="002C1307"/>
    <w:rsid w:val="002C7750"/>
    <w:rsid w:val="002F10F2"/>
    <w:rsid w:val="002F1C8D"/>
    <w:rsid w:val="002F285C"/>
    <w:rsid w:val="002F2D89"/>
    <w:rsid w:val="0033364C"/>
    <w:rsid w:val="00341CC2"/>
    <w:rsid w:val="003430BE"/>
    <w:rsid w:val="003536C5"/>
    <w:rsid w:val="003707A6"/>
    <w:rsid w:val="0037377F"/>
    <w:rsid w:val="0038428B"/>
    <w:rsid w:val="00391891"/>
    <w:rsid w:val="00394C45"/>
    <w:rsid w:val="003A3C06"/>
    <w:rsid w:val="003A692E"/>
    <w:rsid w:val="003A7D5D"/>
    <w:rsid w:val="003B5B28"/>
    <w:rsid w:val="003C260F"/>
    <w:rsid w:val="003C7402"/>
    <w:rsid w:val="003D3EC3"/>
    <w:rsid w:val="003E164B"/>
    <w:rsid w:val="003E432D"/>
    <w:rsid w:val="003F6D6A"/>
    <w:rsid w:val="00431221"/>
    <w:rsid w:val="00432CD1"/>
    <w:rsid w:val="00445599"/>
    <w:rsid w:val="00464FDF"/>
    <w:rsid w:val="0047349E"/>
    <w:rsid w:val="004902AE"/>
    <w:rsid w:val="00496C9A"/>
    <w:rsid w:val="004B02B8"/>
    <w:rsid w:val="004D0A72"/>
    <w:rsid w:val="004E747A"/>
    <w:rsid w:val="004F3B2D"/>
    <w:rsid w:val="00501020"/>
    <w:rsid w:val="00505016"/>
    <w:rsid w:val="00507D82"/>
    <w:rsid w:val="0051237F"/>
    <w:rsid w:val="00515C63"/>
    <w:rsid w:val="005162A3"/>
    <w:rsid w:val="00516FE1"/>
    <w:rsid w:val="005213E8"/>
    <w:rsid w:val="005243E3"/>
    <w:rsid w:val="00524518"/>
    <w:rsid w:val="00533009"/>
    <w:rsid w:val="00533189"/>
    <w:rsid w:val="005341DE"/>
    <w:rsid w:val="00535C84"/>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99A"/>
    <w:rsid w:val="00612039"/>
    <w:rsid w:val="006238C4"/>
    <w:rsid w:val="00644FB2"/>
    <w:rsid w:val="00646596"/>
    <w:rsid w:val="00653EC8"/>
    <w:rsid w:val="006743D7"/>
    <w:rsid w:val="006757AF"/>
    <w:rsid w:val="0068397C"/>
    <w:rsid w:val="00693164"/>
    <w:rsid w:val="006954EF"/>
    <w:rsid w:val="00697B1C"/>
    <w:rsid w:val="006A1DE9"/>
    <w:rsid w:val="006C13F9"/>
    <w:rsid w:val="006C284E"/>
    <w:rsid w:val="006C677D"/>
    <w:rsid w:val="006D2F6A"/>
    <w:rsid w:val="006D4202"/>
    <w:rsid w:val="00701D5A"/>
    <w:rsid w:val="00702CFA"/>
    <w:rsid w:val="007055B1"/>
    <w:rsid w:val="007244D6"/>
    <w:rsid w:val="00726E6F"/>
    <w:rsid w:val="007377CF"/>
    <w:rsid w:val="00746AFF"/>
    <w:rsid w:val="00751EF2"/>
    <w:rsid w:val="00757E03"/>
    <w:rsid w:val="00761754"/>
    <w:rsid w:val="00762D80"/>
    <w:rsid w:val="007717BC"/>
    <w:rsid w:val="00775557"/>
    <w:rsid w:val="00777781"/>
    <w:rsid w:val="00783BCB"/>
    <w:rsid w:val="007A4631"/>
    <w:rsid w:val="007B7BAC"/>
    <w:rsid w:val="007C2476"/>
    <w:rsid w:val="007C2656"/>
    <w:rsid w:val="007F348A"/>
    <w:rsid w:val="007F652E"/>
    <w:rsid w:val="007F6CE6"/>
    <w:rsid w:val="00801B8B"/>
    <w:rsid w:val="00807704"/>
    <w:rsid w:val="00816E50"/>
    <w:rsid w:val="00825D6A"/>
    <w:rsid w:val="008351B2"/>
    <w:rsid w:val="00841E58"/>
    <w:rsid w:val="00850A92"/>
    <w:rsid w:val="00884148"/>
    <w:rsid w:val="008975BE"/>
    <w:rsid w:val="008A7E96"/>
    <w:rsid w:val="008B0186"/>
    <w:rsid w:val="008C6DD9"/>
    <w:rsid w:val="008D576D"/>
    <w:rsid w:val="008F59F5"/>
    <w:rsid w:val="00902FF2"/>
    <w:rsid w:val="00916D6A"/>
    <w:rsid w:val="00930CE6"/>
    <w:rsid w:val="00935C0C"/>
    <w:rsid w:val="00941EC7"/>
    <w:rsid w:val="00951042"/>
    <w:rsid w:val="009534C2"/>
    <w:rsid w:val="009560D3"/>
    <w:rsid w:val="00970135"/>
    <w:rsid w:val="00976E69"/>
    <w:rsid w:val="009C206D"/>
    <w:rsid w:val="009D4ABA"/>
    <w:rsid w:val="009F7543"/>
    <w:rsid w:val="00A138E0"/>
    <w:rsid w:val="00A207C8"/>
    <w:rsid w:val="00A2179B"/>
    <w:rsid w:val="00A376BE"/>
    <w:rsid w:val="00A41A1A"/>
    <w:rsid w:val="00A4564B"/>
    <w:rsid w:val="00A61891"/>
    <w:rsid w:val="00A72412"/>
    <w:rsid w:val="00A7557C"/>
    <w:rsid w:val="00A853F7"/>
    <w:rsid w:val="00AA068A"/>
    <w:rsid w:val="00AA25DB"/>
    <w:rsid w:val="00AA535B"/>
    <w:rsid w:val="00AD205B"/>
    <w:rsid w:val="00AD301E"/>
    <w:rsid w:val="00AD309C"/>
    <w:rsid w:val="00AD4C88"/>
    <w:rsid w:val="00AF0BBD"/>
    <w:rsid w:val="00AF2CA9"/>
    <w:rsid w:val="00AF7BA2"/>
    <w:rsid w:val="00B001DE"/>
    <w:rsid w:val="00B00902"/>
    <w:rsid w:val="00B11860"/>
    <w:rsid w:val="00B13F0B"/>
    <w:rsid w:val="00B22149"/>
    <w:rsid w:val="00B234EA"/>
    <w:rsid w:val="00B40F3D"/>
    <w:rsid w:val="00B55E3B"/>
    <w:rsid w:val="00B60247"/>
    <w:rsid w:val="00B664D7"/>
    <w:rsid w:val="00B90D81"/>
    <w:rsid w:val="00BD038A"/>
    <w:rsid w:val="00BD4E90"/>
    <w:rsid w:val="00BD7899"/>
    <w:rsid w:val="00BE3CDE"/>
    <w:rsid w:val="00BE6026"/>
    <w:rsid w:val="00C07095"/>
    <w:rsid w:val="00C102EE"/>
    <w:rsid w:val="00C11769"/>
    <w:rsid w:val="00C12F15"/>
    <w:rsid w:val="00C23E0C"/>
    <w:rsid w:val="00C314C5"/>
    <w:rsid w:val="00C42B23"/>
    <w:rsid w:val="00C45D88"/>
    <w:rsid w:val="00C6167B"/>
    <w:rsid w:val="00C74463"/>
    <w:rsid w:val="00C838A0"/>
    <w:rsid w:val="00C956CB"/>
    <w:rsid w:val="00C95D5C"/>
    <w:rsid w:val="00CA054E"/>
    <w:rsid w:val="00CA661D"/>
    <w:rsid w:val="00CC5788"/>
    <w:rsid w:val="00CD66D8"/>
    <w:rsid w:val="00CE3D12"/>
    <w:rsid w:val="00CF530D"/>
    <w:rsid w:val="00CF69B6"/>
    <w:rsid w:val="00CF7505"/>
    <w:rsid w:val="00D00D00"/>
    <w:rsid w:val="00D02B28"/>
    <w:rsid w:val="00D04F42"/>
    <w:rsid w:val="00D10488"/>
    <w:rsid w:val="00D23282"/>
    <w:rsid w:val="00D364F7"/>
    <w:rsid w:val="00D477E7"/>
    <w:rsid w:val="00D47BE3"/>
    <w:rsid w:val="00D56DDE"/>
    <w:rsid w:val="00D7590B"/>
    <w:rsid w:val="00D80ECC"/>
    <w:rsid w:val="00DA7182"/>
    <w:rsid w:val="00DB40C1"/>
    <w:rsid w:val="00DE5B4D"/>
    <w:rsid w:val="00DF5FBE"/>
    <w:rsid w:val="00DF7A3B"/>
    <w:rsid w:val="00DF7E5E"/>
    <w:rsid w:val="00E01062"/>
    <w:rsid w:val="00E07ACE"/>
    <w:rsid w:val="00E149C2"/>
    <w:rsid w:val="00E2682B"/>
    <w:rsid w:val="00E300C2"/>
    <w:rsid w:val="00E329B2"/>
    <w:rsid w:val="00E40571"/>
    <w:rsid w:val="00E41B9F"/>
    <w:rsid w:val="00E50777"/>
    <w:rsid w:val="00E51545"/>
    <w:rsid w:val="00E615E2"/>
    <w:rsid w:val="00E6631E"/>
    <w:rsid w:val="00E70F0E"/>
    <w:rsid w:val="00EB0D52"/>
    <w:rsid w:val="00ED7484"/>
    <w:rsid w:val="00EE25F1"/>
    <w:rsid w:val="00EE3F0F"/>
    <w:rsid w:val="00EE6FB6"/>
    <w:rsid w:val="00EF57FC"/>
    <w:rsid w:val="00F11021"/>
    <w:rsid w:val="00F202D8"/>
    <w:rsid w:val="00F21695"/>
    <w:rsid w:val="00F23C84"/>
    <w:rsid w:val="00F25AC2"/>
    <w:rsid w:val="00F41E45"/>
    <w:rsid w:val="00F4270E"/>
    <w:rsid w:val="00F613B4"/>
    <w:rsid w:val="00F75763"/>
    <w:rsid w:val="00F75A22"/>
    <w:rsid w:val="00F80F30"/>
    <w:rsid w:val="00FB220F"/>
    <w:rsid w:val="00FC220A"/>
    <w:rsid w:val="00FC22AE"/>
    <w:rsid w:val="00FD035C"/>
    <w:rsid w:val="00FD580F"/>
    <w:rsid w:val="00FE7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character" w:styleId="CommentReference">
    <w:name w:val="annotation reference"/>
    <w:basedOn w:val="DefaultParagraphFont"/>
    <w:uiPriority w:val="99"/>
    <w:semiHidden/>
    <w:rsid w:val="00252964"/>
    <w:rPr>
      <w:sz w:val="16"/>
      <w:szCs w:val="16"/>
    </w:rPr>
  </w:style>
  <w:style w:type="paragraph" w:styleId="CommentText">
    <w:name w:val="annotation text"/>
    <w:basedOn w:val="Normal"/>
    <w:link w:val="CommentTextChar"/>
    <w:uiPriority w:val="99"/>
    <w:semiHidden/>
    <w:rsid w:val="00252964"/>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252964"/>
    <w:rPr>
      <w:rFonts w:ascii="Arial" w:eastAsia="Times New Roman" w:hAnsi="Arial"/>
      <w:lang w:eastAsia="en-US"/>
    </w:rPr>
  </w:style>
  <w:style w:type="paragraph" w:customStyle="1" w:styleId="CharCharCharChar0">
    <w:name w:val="Char Char Char Char"/>
    <w:basedOn w:val="Normal"/>
    <w:locked/>
    <w:rsid w:val="00EE25F1"/>
    <w:pPr>
      <w:spacing w:after="160" w:line="240" w:lineRule="exact"/>
    </w:pPr>
    <w:rPr>
      <w:rFonts w:ascii="Verdana" w:eastAsia="Times New Roman" w:hAnsi="Verdana"/>
      <w:sz w:val="20"/>
      <w:szCs w:val="20"/>
      <w:lang w:val="en-US"/>
    </w:rPr>
  </w:style>
  <w:style w:type="paragraph" w:styleId="CommentSubject">
    <w:name w:val="annotation subject"/>
    <w:basedOn w:val="CommentText"/>
    <w:next w:val="CommentText"/>
    <w:link w:val="CommentSubjectChar"/>
    <w:uiPriority w:val="99"/>
    <w:semiHidden/>
    <w:unhideWhenUsed/>
    <w:rsid w:val="00E07AC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E07ACE"/>
    <w:rPr>
      <w:rFonts w:ascii="Arial" w:eastAsia="Times New Roman"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character" w:styleId="CommentReference">
    <w:name w:val="annotation reference"/>
    <w:basedOn w:val="DefaultParagraphFont"/>
    <w:uiPriority w:val="99"/>
    <w:semiHidden/>
    <w:rsid w:val="00252964"/>
    <w:rPr>
      <w:sz w:val="16"/>
      <w:szCs w:val="16"/>
    </w:rPr>
  </w:style>
  <w:style w:type="paragraph" w:styleId="CommentText">
    <w:name w:val="annotation text"/>
    <w:basedOn w:val="Normal"/>
    <w:link w:val="CommentTextChar"/>
    <w:uiPriority w:val="99"/>
    <w:semiHidden/>
    <w:rsid w:val="00252964"/>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252964"/>
    <w:rPr>
      <w:rFonts w:ascii="Arial" w:eastAsia="Times New Roman" w:hAnsi="Arial"/>
      <w:lang w:eastAsia="en-US"/>
    </w:rPr>
  </w:style>
  <w:style w:type="paragraph" w:customStyle="1" w:styleId="CharCharCharChar0">
    <w:name w:val="Char Char Char Char"/>
    <w:basedOn w:val="Normal"/>
    <w:locked/>
    <w:rsid w:val="00EE25F1"/>
    <w:pPr>
      <w:spacing w:after="160" w:line="240" w:lineRule="exact"/>
    </w:pPr>
    <w:rPr>
      <w:rFonts w:ascii="Verdana" w:eastAsia="Times New Roman" w:hAnsi="Verdana"/>
      <w:sz w:val="20"/>
      <w:szCs w:val="20"/>
      <w:lang w:val="en-US"/>
    </w:rPr>
  </w:style>
  <w:style w:type="paragraph" w:styleId="CommentSubject">
    <w:name w:val="annotation subject"/>
    <w:basedOn w:val="CommentText"/>
    <w:next w:val="CommentText"/>
    <w:link w:val="CommentSubjectChar"/>
    <w:uiPriority w:val="99"/>
    <w:semiHidden/>
    <w:unhideWhenUsed/>
    <w:rsid w:val="00E07ACE"/>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E07ACE"/>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harrow.gov.uk/info/200251/community_and_living/863/equalities_dat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harrowhub.harrow.gov.uk/info/200341/equality_impact_assessments/1604/data_guide_-_inequality_impact_assessmen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arrowhub.harrow.gov.uk/downloads/file/9302/eqia_guidance_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1bda97-64e7-4000-91fd-dcaad77bf85d" ContentTypeId="0x0101000226E4B75CFA47B488D2CEFE4DCFDD64" PreviousValue="true"/>
</file>

<file path=customXml/item2.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B4F416264EC9AF45898A17E264244E8E" ma:contentTypeVersion="12" ma:contentTypeDescription="A basic document." ma:contentTypeScope="" ma:versionID="63f9de2df2059f7dae2af6eb1e3abd85">
  <xsd:schema xmlns:xsd="http://www.w3.org/2001/XMLSchema" xmlns:xs="http://www.w3.org/2001/XMLSchema" xmlns:p="http://schemas.microsoft.com/office/2006/metadata/properties" xmlns:ns2="e48e9339-ef40-4192-ab59-a15ba5582753" xmlns:ns3="41e6ebe8-3af6-4658-ad32-01f6adef58ea" targetNamespace="http://schemas.microsoft.com/office/2006/metadata/properties" ma:root="true" ma:fieldsID="c9d7912d059e07c816cd94b01a763fb1" ns2:_="" ns3:_="">
    <xsd:import namespace="e48e9339-ef40-4192-ab59-a15ba5582753"/>
    <xsd:import namespace="41e6ebe8-3af6-4658-ad32-01f6adef58ea"/>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Financial_x0020_Date"/>
                <xsd:element ref="ns3:Work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ebfbce1-9a55-4c2a-af9b-4f073a110419}" ma:internalName="TaxCatchAll" ma:showField="CatchAllData"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ebfbce1-9a55-4c2a-af9b-4f073a110419}" ma:internalName="TaxCatchAllLabel" ma:readOnly="true" ma:showField="CatchAllDataLabel" ma:web="41e6ebe8-3af6-4658-ad32-01f6adef58ea">
      <xsd:complexType>
        <xsd:complexContent>
          <xsd:extension base="dms:MultiChoiceLookup">
            <xsd:sequence>
              <xsd:element name="Value" type="dms:Lookup" maxOccurs="unbounded" minOccurs="0" nillable="true"/>
            </xsd:sequence>
          </xsd:extension>
        </xsd:complexContent>
      </xsd:complexType>
    </xsd:element>
    <xsd:element name="Financial_x0020_Date" ma:index="14" ma:displayName="Financial Date" ma:format="DateOnly" ma:indexed="true" ma:internalName="Financial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e6ebe8-3af6-4658-ad32-01f6adef58ea" elementFormDefault="qualified">
    <xsd:import namespace="http://schemas.microsoft.com/office/2006/documentManagement/types"/>
    <xsd:import namespace="http://schemas.microsoft.com/office/infopath/2007/PartnerControls"/>
    <xsd:element name="Work_x0020_Area" ma:index="17" nillable="true" ma:displayName="Work Area" ma:format="Dropdown" ma:internalName="Work_x0020_Area">
      <xsd:simpleType>
        <xsd:restriction base="dms:Choice">
          <xsd:enumeration value="Scrutiny"/>
          <xsd:enumeration value="Policy"/>
          <xsd:enumeration value="Domestic Violence"/>
          <xsd:enumeration value="Community Safety"/>
          <xsd:enumeration value="Equalities"/>
          <xsd:enumeration value="Health"/>
          <xsd:enumeration value="Voluntary and Community Sector"/>
          <xsd:enumeration value="Resident Engagement"/>
          <xsd:enumeration value="Chief Execu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Financial_x0020_Date xmlns="e48e9339-ef40-4192-ab59-a15ba5582753">2018-03-26T23:00:00+00:00</Financial_x0020_Date>
    <Work_x0020_Area xmlns="41e6ebe8-3af6-4658-ad32-01f6adef58ea">Equalities</Work_x0020_Area>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C9C0-B4A7-480D-AC65-4DB579FD5CE2}">
  <ds:schemaRefs>
    <ds:schemaRef ds:uri="Microsoft.SharePoint.Taxonomy.ContentTypeSync"/>
  </ds:schemaRefs>
</ds:datastoreItem>
</file>

<file path=customXml/itemProps2.xml><?xml version="1.0" encoding="utf-8"?>
<ds:datastoreItem xmlns:ds="http://schemas.openxmlformats.org/officeDocument/2006/customXml" ds:itemID="{3C86D229-EC7E-48C7-A475-F901D5308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41e6ebe8-3af6-4658-ad32-01f6adef5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454C4-BFFD-48BE-A4D9-A426F4333DEE}">
  <ds:schemaRefs>
    <ds:schemaRef ds:uri="http://schemas.openxmlformats.org/package/2006/metadata/core-properties"/>
    <ds:schemaRef ds:uri="http://schemas.microsoft.com/office/2006/documentManagement/types"/>
    <ds:schemaRef ds:uri="http://schemas.microsoft.com/office/infopath/2007/PartnerControls"/>
    <ds:schemaRef ds:uri="41e6ebe8-3af6-4658-ad32-01f6adef58ea"/>
    <ds:schemaRef ds:uri="http://purl.org/dc/elements/1.1/"/>
    <ds:schemaRef ds:uri="http://schemas.microsoft.com/office/2006/metadata/properties"/>
    <ds:schemaRef ds:uri="e48e9339-ef40-4192-ab59-a15ba558275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5.xml><?xml version="1.0" encoding="utf-8"?>
<ds:datastoreItem xmlns:ds="http://schemas.openxmlformats.org/officeDocument/2006/customXml" ds:itemID="{01BCC0A2-43AB-471A-ADFB-5FC6245B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Harrow Council revised EqIA Template Final March 2018</vt:lpstr>
    </vt:vector>
  </TitlesOfParts>
  <Company>London Borough of Harrow</Company>
  <LinksUpToDate>false</LinksUpToDate>
  <CharactersWithSpaces>16592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Final March 2018</dc:title>
  <dc:creator>Farah Ikram</dc:creator>
  <cp:lastModifiedBy>Frankie Belloli</cp:lastModifiedBy>
  <cp:revision>4</cp:revision>
  <cp:lastPrinted>2019-01-04T12:32:00Z</cp:lastPrinted>
  <dcterms:created xsi:type="dcterms:W3CDTF">2019-02-08T11:42:00Z</dcterms:created>
  <dcterms:modified xsi:type="dcterms:W3CDTF">2019-02-12T11:17:00Z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0x0101000226E4B75CFA47B488D2CEFE4DCFDD6400B4F416264EC9AF45898A17E264244E8E</vt:lpwstr>
  </property>
  <property fmtid="{D5CDD505-2E9C-101B-9397-08002B2CF9AE}" pid="3" name="TaxKeyword">
    <vt:lpwstr/>
  </property>
</Properties>
</file>